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610D1" w14:textId="2B6463DF" w:rsidR="00FE7FF1" w:rsidRDefault="001F334E" w:rsidP="001F334E">
      <w:pPr>
        <w:jc w:val="both"/>
        <w:textAlignment w:val="baseline"/>
        <w:rPr>
          <w:b/>
          <w:color w:val="000000"/>
          <w:sz w:val="24"/>
          <w:lang w:val="en-SG"/>
        </w:rPr>
      </w:pPr>
      <w:r w:rsidRPr="00AB59B0">
        <w:rPr>
          <w:b/>
          <w:color w:val="000000"/>
          <w:sz w:val="24"/>
          <w:lang w:val="en-SG"/>
        </w:rPr>
        <w:t>EXPLANATORY GUIDE: HOW TO APPEAL TO THE GOODS AND SERVICES TAX BOARD OF REVIEW</w:t>
      </w:r>
    </w:p>
    <w:p w14:paraId="609FEBE1" w14:textId="77777777" w:rsidR="001F334E" w:rsidRPr="00AB59B0" w:rsidRDefault="001F334E" w:rsidP="001F334E">
      <w:pPr>
        <w:jc w:val="both"/>
        <w:textAlignment w:val="baseline"/>
        <w:rPr>
          <w:b/>
          <w:color w:val="000000"/>
          <w:sz w:val="24"/>
          <w:lang w:val="en-SG"/>
        </w:rPr>
      </w:pPr>
    </w:p>
    <w:p w14:paraId="7228FB4A" w14:textId="77777777" w:rsidR="00FE7FF1" w:rsidRDefault="00691323" w:rsidP="001F334E">
      <w:pPr>
        <w:numPr>
          <w:ilvl w:val="0"/>
          <w:numId w:val="1"/>
        </w:numPr>
        <w:tabs>
          <w:tab w:val="clear" w:pos="720"/>
          <w:tab w:val="left" w:pos="658"/>
        </w:tabs>
        <w:jc w:val="both"/>
        <w:textAlignment w:val="baseline"/>
        <w:rPr>
          <w:b/>
          <w:color w:val="000000"/>
          <w:spacing w:val="-1"/>
          <w:sz w:val="24"/>
          <w:lang w:val="en-SG"/>
        </w:rPr>
      </w:pPr>
      <w:r w:rsidRPr="00AB59B0">
        <w:rPr>
          <w:b/>
          <w:color w:val="000000"/>
          <w:spacing w:val="-1"/>
          <w:sz w:val="24"/>
          <w:lang w:val="en-SG"/>
        </w:rPr>
        <w:t>Introduction</w:t>
      </w:r>
    </w:p>
    <w:p w14:paraId="293D3CF2" w14:textId="77777777" w:rsidR="001F334E" w:rsidRPr="00AB59B0" w:rsidRDefault="001F334E" w:rsidP="001F334E">
      <w:pPr>
        <w:tabs>
          <w:tab w:val="left" w:pos="720"/>
        </w:tabs>
        <w:jc w:val="both"/>
        <w:textAlignment w:val="baseline"/>
        <w:rPr>
          <w:b/>
          <w:color w:val="000000"/>
          <w:spacing w:val="-1"/>
          <w:sz w:val="24"/>
          <w:lang w:val="en-SG"/>
        </w:rPr>
      </w:pPr>
    </w:p>
    <w:p w14:paraId="2D57DB85" w14:textId="420D39F7" w:rsidR="00FE7FF1" w:rsidRPr="00AB59B0" w:rsidRDefault="00691323" w:rsidP="001F334E">
      <w:pPr>
        <w:ind w:left="648" w:hanging="648"/>
        <w:jc w:val="both"/>
        <w:textAlignment w:val="baseline"/>
        <w:rPr>
          <w:color w:val="000000"/>
          <w:sz w:val="24"/>
          <w:lang w:val="en-SG"/>
        </w:rPr>
      </w:pPr>
      <w:r w:rsidRPr="00AB59B0">
        <w:rPr>
          <w:color w:val="000000"/>
          <w:sz w:val="24"/>
          <w:lang w:val="en-SG"/>
        </w:rPr>
        <w:t xml:space="preserve">1.1. </w:t>
      </w:r>
      <w:r w:rsidR="00EA22C9" w:rsidRPr="00AB59B0">
        <w:rPr>
          <w:color w:val="000000"/>
          <w:sz w:val="24"/>
          <w:lang w:val="en-SG"/>
        </w:rPr>
        <w:tab/>
      </w:r>
      <w:r w:rsidRPr="00AB59B0">
        <w:rPr>
          <w:color w:val="000000"/>
          <w:sz w:val="24"/>
          <w:lang w:val="en-SG"/>
        </w:rPr>
        <w:t xml:space="preserve">This guide is designed to provide the appellant with information on </w:t>
      </w:r>
      <w:r w:rsidR="003A0A2B" w:rsidRPr="00BF2B37">
        <w:rPr>
          <w:rFonts w:eastAsia="Times New Roman"/>
          <w:color w:val="000000"/>
          <w:sz w:val="24"/>
          <w:lang w:val="en-SG"/>
        </w:rPr>
        <w:t>filing</w:t>
      </w:r>
      <w:r w:rsidR="003A0A2B" w:rsidRPr="00AB59B0">
        <w:rPr>
          <w:color w:val="000000"/>
          <w:sz w:val="24"/>
          <w:lang w:val="en-SG"/>
        </w:rPr>
        <w:t xml:space="preserve"> </w:t>
      </w:r>
      <w:r w:rsidRPr="00AB59B0">
        <w:rPr>
          <w:color w:val="000000"/>
          <w:sz w:val="24"/>
          <w:lang w:val="en-SG"/>
        </w:rPr>
        <w:t>an appeal to the Goods and Services Tax Board of Review (the “Board”) against the decision on the application for review and revision under section 49 made by the Comptroller of Goods and Services Tax (“CGST”).</w:t>
      </w:r>
    </w:p>
    <w:p w14:paraId="1E8D3B5C" w14:textId="77777777" w:rsidR="001F334E" w:rsidRDefault="001F334E" w:rsidP="001F334E">
      <w:pPr>
        <w:tabs>
          <w:tab w:val="left" w:pos="720"/>
        </w:tabs>
        <w:jc w:val="both"/>
        <w:textAlignment w:val="baseline"/>
        <w:rPr>
          <w:b/>
          <w:color w:val="000000"/>
          <w:spacing w:val="-1"/>
          <w:sz w:val="24"/>
          <w:lang w:val="en-SG"/>
        </w:rPr>
      </w:pPr>
    </w:p>
    <w:p w14:paraId="2B2AFB2F" w14:textId="77777777" w:rsidR="00FE7FF1" w:rsidRDefault="00691323" w:rsidP="001F334E">
      <w:pPr>
        <w:numPr>
          <w:ilvl w:val="0"/>
          <w:numId w:val="1"/>
        </w:numPr>
        <w:tabs>
          <w:tab w:val="clear" w:pos="720"/>
          <w:tab w:val="left" w:pos="672"/>
        </w:tabs>
        <w:jc w:val="both"/>
        <w:textAlignment w:val="baseline"/>
        <w:rPr>
          <w:b/>
          <w:color w:val="000000"/>
          <w:spacing w:val="-1"/>
          <w:sz w:val="24"/>
          <w:lang w:val="en-SG"/>
        </w:rPr>
      </w:pPr>
      <w:proofErr w:type="gramStart"/>
      <w:r w:rsidRPr="00AB59B0">
        <w:rPr>
          <w:b/>
          <w:color w:val="000000"/>
          <w:spacing w:val="-1"/>
          <w:sz w:val="24"/>
          <w:lang w:val="en-SG"/>
        </w:rPr>
        <w:t>At a Glance</w:t>
      </w:r>
      <w:proofErr w:type="gramEnd"/>
    </w:p>
    <w:p w14:paraId="2AF30DD8" w14:textId="77777777" w:rsidR="001F334E" w:rsidRPr="00AB59B0" w:rsidRDefault="001F334E" w:rsidP="001F334E">
      <w:pPr>
        <w:tabs>
          <w:tab w:val="left" w:pos="672"/>
        </w:tabs>
        <w:jc w:val="both"/>
        <w:textAlignment w:val="baseline"/>
        <w:rPr>
          <w:b/>
          <w:color w:val="000000"/>
          <w:spacing w:val="-1"/>
          <w:sz w:val="24"/>
          <w:lang w:val="en-SG"/>
        </w:rPr>
      </w:pPr>
    </w:p>
    <w:p w14:paraId="4966F428" w14:textId="77777777" w:rsidR="00FE7FF1" w:rsidRDefault="00691323" w:rsidP="001F334E">
      <w:pPr>
        <w:ind w:left="648" w:hanging="648"/>
        <w:jc w:val="both"/>
        <w:textAlignment w:val="baseline"/>
        <w:rPr>
          <w:color w:val="000000"/>
          <w:sz w:val="24"/>
          <w:lang w:val="en-SG"/>
        </w:rPr>
      </w:pPr>
      <w:r w:rsidRPr="00AB59B0">
        <w:rPr>
          <w:color w:val="000000"/>
          <w:sz w:val="24"/>
          <w:lang w:val="en-SG"/>
        </w:rPr>
        <w:t xml:space="preserve">2.1. </w:t>
      </w:r>
      <w:r w:rsidR="001F334E">
        <w:rPr>
          <w:color w:val="000000"/>
          <w:sz w:val="24"/>
          <w:lang w:val="en-SG"/>
        </w:rPr>
        <w:tab/>
      </w:r>
      <w:r w:rsidRPr="00AB59B0">
        <w:rPr>
          <w:color w:val="000000"/>
          <w:sz w:val="24"/>
          <w:lang w:val="en-SG"/>
        </w:rPr>
        <w:t>An overview of the objection and appeal process is summarised in the table below. More details are provided in the later part of this guide and the appendices.</w:t>
      </w:r>
    </w:p>
    <w:p w14:paraId="0DB17076" w14:textId="77777777" w:rsidR="00256FD8" w:rsidRDefault="00256FD8" w:rsidP="001F334E">
      <w:pPr>
        <w:ind w:left="648" w:hanging="648"/>
        <w:jc w:val="both"/>
        <w:textAlignment w:val="baseline"/>
        <w:rPr>
          <w:color w:val="000000"/>
          <w:sz w:val="24"/>
          <w:lang w:val="en-SG"/>
        </w:rPr>
      </w:pPr>
    </w:p>
    <w:tbl>
      <w:tblPr>
        <w:tblStyle w:val="TableGrid"/>
        <w:tblW w:w="0" w:type="auto"/>
        <w:tblInd w:w="648" w:type="dxa"/>
        <w:tblLook w:val="04A0" w:firstRow="1" w:lastRow="0" w:firstColumn="1" w:lastColumn="0" w:noHBand="0" w:noVBand="1"/>
      </w:tblPr>
      <w:tblGrid>
        <w:gridCol w:w="481"/>
        <w:gridCol w:w="2410"/>
        <w:gridCol w:w="5471"/>
      </w:tblGrid>
      <w:tr w:rsidR="00256FD8" w14:paraId="3CC50D54" w14:textId="77777777" w:rsidTr="00256FD8">
        <w:tc>
          <w:tcPr>
            <w:tcW w:w="481" w:type="dxa"/>
            <w:shd w:val="clear" w:color="auto" w:fill="E7E6E6" w:themeFill="background2"/>
          </w:tcPr>
          <w:p w14:paraId="6B340EBE" w14:textId="77777777" w:rsidR="00256FD8" w:rsidRDefault="00256FD8" w:rsidP="001F334E">
            <w:pPr>
              <w:jc w:val="both"/>
              <w:textAlignment w:val="baseline"/>
              <w:rPr>
                <w:color w:val="000000"/>
                <w:sz w:val="24"/>
                <w:lang w:val="en-SG"/>
              </w:rPr>
            </w:pPr>
          </w:p>
        </w:tc>
        <w:tc>
          <w:tcPr>
            <w:tcW w:w="2410" w:type="dxa"/>
            <w:shd w:val="clear" w:color="auto" w:fill="E7E6E6" w:themeFill="background2"/>
          </w:tcPr>
          <w:p w14:paraId="472691D9" w14:textId="77777777" w:rsidR="00256FD8" w:rsidRPr="00256FD8" w:rsidRDefault="00256FD8" w:rsidP="001F334E">
            <w:pPr>
              <w:jc w:val="both"/>
              <w:textAlignment w:val="baseline"/>
              <w:rPr>
                <w:b/>
                <w:bCs/>
                <w:color w:val="000000"/>
                <w:sz w:val="24"/>
                <w:lang w:val="en-SG"/>
              </w:rPr>
            </w:pPr>
            <w:r w:rsidRPr="00256FD8">
              <w:rPr>
                <w:b/>
                <w:bCs/>
                <w:color w:val="000000"/>
                <w:sz w:val="24"/>
                <w:lang w:val="en-SG"/>
              </w:rPr>
              <w:t>Steps</w:t>
            </w:r>
          </w:p>
        </w:tc>
        <w:tc>
          <w:tcPr>
            <w:tcW w:w="5471" w:type="dxa"/>
            <w:shd w:val="clear" w:color="auto" w:fill="E7E6E6" w:themeFill="background2"/>
          </w:tcPr>
          <w:p w14:paraId="2DB6115E" w14:textId="77777777" w:rsidR="00256FD8" w:rsidRDefault="00256FD8" w:rsidP="001F334E">
            <w:pPr>
              <w:jc w:val="both"/>
              <w:textAlignment w:val="baseline"/>
              <w:rPr>
                <w:color w:val="000000"/>
                <w:sz w:val="24"/>
                <w:lang w:val="en-SG"/>
              </w:rPr>
            </w:pPr>
            <w:r w:rsidRPr="00AB59B0">
              <w:rPr>
                <w:b/>
                <w:color w:val="000000"/>
                <w:sz w:val="24"/>
                <w:lang w:val="en-SG"/>
              </w:rPr>
              <w:t>Explanation</w:t>
            </w:r>
          </w:p>
        </w:tc>
      </w:tr>
      <w:tr w:rsidR="00256FD8" w14:paraId="78BAF020" w14:textId="77777777" w:rsidTr="00256FD8">
        <w:tc>
          <w:tcPr>
            <w:tcW w:w="481" w:type="dxa"/>
          </w:tcPr>
          <w:p w14:paraId="6E9D229C"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1D45A55F" w14:textId="1075962B" w:rsidR="00256FD8" w:rsidRDefault="00256FD8" w:rsidP="008A4F3B">
            <w:pPr>
              <w:textAlignment w:val="baseline"/>
              <w:rPr>
                <w:color w:val="000000"/>
                <w:sz w:val="24"/>
                <w:lang w:val="en-SG"/>
              </w:rPr>
            </w:pPr>
            <w:r w:rsidRPr="00AB59B0">
              <w:rPr>
                <w:color w:val="000000"/>
                <w:sz w:val="24"/>
                <w:lang w:val="en-SG"/>
              </w:rPr>
              <w:t xml:space="preserve">Receipt of </w:t>
            </w:r>
            <w:r w:rsidR="00810165">
              <w:rPr>
                <w:color w:val="000000"/>
                <w:sz w:val="24"/>
                <w:lang w:val="en-SG"/>
              </w:rPr>
              <w:t>CGST’s decision</w:t>
            </w:r>
          </w:p>
        </w:tc>
        <w:tc>
          <w:tcPr>
            <w:tcW w:w="5471" w:type="dxa"/>
          </w:tcPr>
          <w:p w14:paraId="13E5FA2B" w14:textId="47A0322F" w:rsidR="00256FD8" w:rsidRDefault="00256FD8" w:rsidP="00256FD8">
            <w:pPr>
              <w:jc w:val="both"/>
              <w:textAlignment w:val="baseline"/>
              <w:rPr>
                <w:color w:val="000000"/>
                <w:sz w:val="24"/>
                <w:lang w:val="en-SG"/>
              </w:rPr>
            </w:pPr>
            <w:r w:rsidRPr="00AB59B0">
              <w:rPr>
                <w:color w:val="000000"/>
                <w:sz w:val="24"/>
                <w:lang w:val="en-SG"/>
              </w:rPr>
              <w:t xml:space="preserve">You would have </w:t>
            </w:r>
            <w:r w:rsidR="00810165">
              <w:rPr>
                <w:color w:val="000000"/>
                <w:sz w:val="24"/>
                <w:lang w:val="en-SG"/>
              </w:rPr>
              <w:t xml:space="preserve">been notified of </w:t>
            </w:r>
            <w:r w:rsidRPr="00AB59B0">
              <w:rPr>
                <w:color w:val="000000"/>
                <w:sz w:val="24"/>
                <w:lang w:val="en-SG"/>
              </w:rPr>
              <w:t xml:space="preserve">a </w:t>
            </w:r>
            <w:r w:rsidR="00810165">
              <w:rPr>
                <w:color w:val="000000"/>
                <w:sz w:val="24"/>
                <w:lang w:val="en-SG"/>
              </w:rPr>
              <w:t xml:space="preserve">decision </w:t>
            </w:r>
            <w:r w:rsidRPr="00AB59B0">
              <w:rPr>
                <w:color w:val="000000"/>
                <w:sz w:val="24"/>
                <w:lang w:val="en-SG"/>
              </w:rPr>
              <w:t>by the CGST</w:t>
            </w:r>
            <w:r w:rsidR="00810165">
              <w:rPr>
                <w:color w:val="000000"/>
                <w:sz w:val="24"/>
                <w:lang w:val="en-SG"/>
              </w:rPr>
              <w:t xml:space="preserve"> (e.g. on 31 March 2015)</w:t>
            </w:r>
            <w:r w:rsidRPr="00AB59B0">
              <w:rPr>
                <w:color w:val="000000"/>
                <w:sz w:val="24"/>
                <w:lang w:val="en-SG"/>
              </w:rPr>
              <w:t>.</w:t>
            </w:r>
            <w:r w:rsidR="00810165">
              <w:rPr>
                <w:color w:val="000000"/>
                <w:sz w:val="24"/>
                <w:lang w:val="en-SG"/>
              </w:rPr>
              <w:t xml:space="preserve"> </w:t>
            </w:r>
          </w:p>
        </w:tc>
      </w:tr>
      <w:tr w:rsidR="00256FD8" w14:paraId="37DB45AF" w14:textId="77777777" w:rsidTr="00256FD8">
        <w:tc>
          <w:tcPr>
            <w:tcW w:w="481" w:type="dxa"/>
          </w:tcPr>
          <w:p w14:paraId="369AF7C8"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72208CBE" w14:textId="77777777" w:rsidR="00256FD8" w:rsidRDefault="00256FD8" w:rsidP="008A4F3B">
            <w:pPr>
              <w:textAlignment w:val="baseline"/>
              <w:rPr>
                <w:color w:val="000000"/>
                <w:sz w:val="24"/>
                <w:lang w:val="en-SG"/>
              </w:rPr>
            </w:pPr>
            <w:r w:rsidRPr="00AB59B0">
              <w:rPr>
                <w:color w:val="000000"/>
                <w:sz w:val="24"/>
                <w:lang w:val="en-SG"/>
              </w:rPr>
              <w:t>Lodge a notice of objection to the CGST</w:t>
            </w:r>
          </w:p>
        </w:tc>
        <w:tc>
          <w:tcPr>
            <w:tcW w:w="5471" w:type="dxa"/>
          </w:tcPr>
          <w:p w14:paraId="65C4541A" w14:textId="6022FFEA" w:rsidR="00810165" w:rsidRDefault="00256FD8" w:rsidP="00810165">
            <w:pPr>
              <w:jc w:val="both"/>
              <w:textAlignment w:val="baseline"/>
              <w:rPr>
                <w:color w:val="000000"/>
                <w:sz w:val="24"/>
                <w:lang w:val="en-SG"/>
              </w:rPr>
            </w:pPr>
            <w:r w:rsidRPr="00AB59B0">
              <w:rPr>
                <w:color w:val="000000"/>
                <w:sz w:val="24"/>
                <w:lang w:val="en-SG"/>
              </w:rPr>
              <w:t xml:space="preserve">If you disagree with the </w:t>
            </w:r>
            <w:r w:rsidR="00810165">
              <w:rPr>
                <w:color w:val="000000"/>
                <w:sz w:val="24"/>
                <w:lang w:val="en-SG"/>
              </w:rPr>
              <w:t>decision</w:t>
            </w:r>
            <w:r w:rsidRPr="00AB59B0">
              <w:rPr>
                <w:color w:val="000000"/>
                <w:sz w:val="24"/>
                <w:lang w:val="en-SG"/>
              </w:rPr>
              <w:t xml:space="preserve">, </w:t>
            </w:r>
            <w:r w:rsidR="00810165">
              <w:rPr>
                <w:color w:val="000000"/>
                <w:sz w:val="24"/>
                <w:lang w:val="en-SG"/>
              </w:rPr>
              <w:t xml:space="preserve">and the decision is covered under s 49(1) of the Goods and Services Act 1993 </w:t>
            </w:r>
            <w:r w:rsidR="00810165" w:rsidRPr="00AB59B0">
              <w:rPr>
                <w:color w:val="000000"/>
                <w:sz w:val="24"/>
                <w:lang w:val="en-SG"/>
              </w:rPr>
              <w:t>(“GSTA”</w:t>
            </w:r>
            <w:r w:rsidR="00810165">
              <w:rPr>
                <w:color w:val="000000"/>
                <w:sz w:val="24"/>
                <w:lang w:val="en-SG"/>
              </w:rPr>
              <w:t xml:space="preserve">), </w:t>
            </w:r>
            <w:r w:rsidRPr="00AB59B0">
              <w:rPr>
                <w:color w:val="000000"/>
                <w:sz w:val="24"/>
                <w:lang w:val="en-SG"/>
              </w:rPr>
              <w:t xml:space="preserve">a written notice of objection </w:t>
            </w:r>
            <w:r w:rsidR="006E25FF">
              <w:rPr>
                <w:color w:val="000000"/>
                <w:sz w:val="24"/>
                <w:lang w:val="en-SG"/>
              </w:rPr>
              <w:t xml:space="preserve">for review and revision of that decision </w:t>
            </w:r>
            <w:r w:rsidRPr="00AB59B0">
              <w:rPr>
                <w:color w:val="000000"/>
                <w:sz w:val="24"/>
                <w:lang w:val="en-SG"/>
              </w:rPr>
              <w:t xml:space="preserve">must be filed with the CGST within 30 days </w:t>
            </w:r>
            <w:r w:rsidR="00810165">
              <w:rPr>
                <w:color w:val="000000"/>
                <w:sz w:val="24"/>
                <w:lang w:val="en-SG"/>
              </w:rPr>
              <w:t>after</w:t>
            </w:r>
            <w:r w:rsidRPr="00AB59B0">
              <w:rPr>
                <w:color w:val="000000"/>
                <w:sz w:val="24"/>
                <w:lang w:val="en-SG"/>
              </w:rPr>
              <w:t xml:space="preserve"> </w:t>
            </w:r>
            <w:r w:rsidR="00810165">
              <w:rPr>
                <w:color w:val="000000"/>
                <w:sz w:val="24"/>
                <w:lang w:val="en-SG"/>
              </w:rPr>
              <w:t xml:space="preserve">you were notified of CGST’s decision </w:t>
            </w:r>
            <w:r w:rsidRPr="00AB59B0">
              <w:rPr>
                <w:color w:val="000000"/>
                <w:sz w:val="24"/>
                <w:lang w:val="en-SG"/>
              </w:rPr>
              <w:t>(e.g. by 30</w:t>
            </w:r>
            <w:r w:rsidR="00653931">
              <w:rPr>
                <w:color w:val="000000"/>
                <w:sz w:val="24"/>
                <w:lang w:val="en-SG"/>
              </w:rPr>
              <w:t> </w:t>
            </w:r>
            <w:r w:rsidRPr="00AB59B0">
              <w:rPr>
                <w:color w:val="000000"/>
                <w:sz w:val="24"/>
                <w:lang w:val="en-SG"/>
              </w:rPr>
              <w:t>Apr 2015). You should state precisely the grounds of your objection in your notice of objection.</w:t>
            </w:r>
          </w:p>
        </w:tc>
      </w:tr>
      <w:tr w:rsidR="00256FD8" w14:paraId="2C26680D" w14:textId="77777777" w:rsidTr="00256FD8">
        <w:tc>
          <w:tcPr>
            <w:tcW w:w="481" w:type="dxa"/>
          </w:tcPr>
          <w:p w14:paraId="720D150D"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7AED82B0" w14:textId="77777777" w:rsidR="00256FD8" w:rsidRDefault="00256FD8" w:rsidP="008A4F3B">
            <w:pPr>
              <w:tabs>
                <w:tab w:val="right" w:pos="1512"/>
              </w:tabs>
              <w:textAlignment w:val="baseline"/>
              <w:rPr>
                <w:color w:val="000000"/>
                <w:sz w:val="24"/>
                <w:lang w:val="en-SG"/>
              </w:rPr>
            </w:pPr>
            <w:r w:rsidRPr="00AB59B0">
              <w:rPr>
                <w:color w:val="000000"/>
                <w:sz w:val="24"/>
                <w:lang w:val="en-SG"/>
              </w:rPr>
              <w:t>Receipt</w:t>
            </w:r>
            <w:r>
              <w:rPr>
                <w:color w:val="000000"/>
                <w:sz w:val="24"/>
                <w:lang w:val="en-SG"/>
              </w:rPr>
              <w:t xml:space="preserve"> </w:t>
            </w:r>
            <w:r w:rsidRPr="00AB59B0">
              <w:rPr>
                <w:color w:val="000000"/>
                <w:sz w:val="24"/>
                <w:lang w:val="en-SG"/>
              </w:rPr>
              <w:tab/>
              <w:t>of</w:t>
            </w:r>
            <w:r>
              <w:rPr>
                <w:color w:val="000000"/>
                <w:sz w:val="24"/>
                <w:lang w:val="en-SG"/>
              </w:rPr>
              <w:t xml:space="preserve"> </w:t>
            </w:r>
            <w:r w:rsidRPr="00AB59B0">
              <w:rPr>
                <w:color w:val="000000"/>
                <w:sz w:val="24"/>
                <w:lang w:val="en-SG"/>
              </w:rPr>
              <w:t>a Notice</w:t>
            </w:r>
            <w:r w:rsidRPr="00AB59B0">
              <w:rPr>
                <w:color w:val="000000"/>
                <w:sz w:val="24"/>
                <w:lang w:val="en-SG"/>
              </w:rPr>
              <w:tab/>
              <w:t>of</w:t>
            </w:r>
            <w:r>
              <w:rPr>
                <w:color w:val="000000"/>
                <w:sz w:val="24"/>
                <w:lang w:val="en-SG"/>
              </w:rPr>
              <w:t xml:space="preserve"> </w:t>
            </w:r>
            <w:r w:rsidRPr="00AB59B0">
              <w:rPr>
                <w:color w:val="000000"/>
                <w:sz w:val="24"/>
                <w:lang w:val="en-SG"/>
              </w:rPr>
              <w:t>Comptroller’s</w:t>
            </w:r>
            <w:r>
              <w:rPr>
                <w:color w:val="000000"/>
                <w:sz w:val="24"/>
                <w:lang w:val="en-SG"/>
              </w:rPr>
              <w:t xml:space="preserve"> </w:t>
            </w:r>
            <w:r w:rsidRPr="00AB59B0">
              <w:rPr>
                <w:color w:val="000000"/>
                <w:sz w:val="24"/>
                <w:lang w:val="en-SG"/>
              </w:rPr>
              <w:t>Decision</w:t>
            </w:r>
          </w:p>
        </w:tc>
        <w:tc>
          <w:tcPr>
            <w:tcW w:w="5471" w:type="dxa"/>
          </w:tcPr>
          <w:p w14:paraId="04BB9A98" w14:textId="77777777" w:rsidR="00256FD8" w:rsidRDefault="00256FD8" w:rsidP="00256FD8">
            <w:pPr>
              <w:jc w:val="both"/>
              <w:textAlignment w:val="baseline"/>
              <w:rPr>
                <w:color w:val="000000"/>
                <w:sz w:val="24"/>
                <w:lang w:val="en-SG"/>
              </w:rPr>
            </w:pPr>
            <w:r w:rsidRPr="00AB59B0">
              <w:rPr>
                <w:color w:val="000000"/>
                <w:sz w:val="24"/>
                <w:lang w:val="en-SG"/>
              </w:rPr>
              <w:t>If you and the CGST are unable to reach a resolution, the CGST will issue you a Notice of Comptroller’s Decision within a reasonable time (e.g. by 31 May</w:t>
            </w:r>
            <w:r w:rsidR="00653931">
              <w:rPr>
                <w:color w:val="000000"/>
                <w:sz w:val="24"/>
                <w:lang w:val="en-SG"/>
              </w:rPr>
              <w:t> </w:t>
            </w:r>
            <w:r w:rsidRPr="00AB59B0">
              <w:rPr>
                <w:color w:val="000000"/>
                <w:sz w:val="24"/>
                <w:lang w:val="en-SG"/>
              </w:rPr>
              <w:t>2015).</w:t>
            </w:r>
          </w:p>
        </w:tc>
      </w:tr>
      <w:tr w:rsidR="00256FD8" w14:paraId="25BA8124" w14:textId="77777777" w:rsidTr="00256FD8">
        <w:tc>
          <w:tcPr>
            <w:tcW w:w="481" w:type="dxa"/>
          </w:tcPr>
          <w:p w14:paraId="5872825A"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3BFFA969" w14:textId="77777777" w:rsidR="00256FD8" w:rsidRDefault="00256FD8" w:rsidP="008A4F3B">
            <w:pPr>
              <w:textAlignment w:val="baseline"/>
              <w:rPr>
                <w:color w:val="000000"/>
                <w:sz w:val="24"/>
                <w:lang w:val="en-SG"/>
              </w:rPr>
            </w:pPr>
            <w:r w:rsidRPr="00AB59B0">
              <w:rPr>
                <w:color w:val="000000"/>
                <w:spacing w:val="3"/>
                <w:sz w:val="24"/>
                <w:lang w:val="en-SG"/>
              </w:rPr>
              <w:t>Lodge a Notice of</w:t>
            </w:r>
            <w:r>
              <w:rPr>
                <w:color w:val="000000"/>
                <w:spacing w:val="3"/>
                <w:sz w:val="24"/>
                <w:lang w:val="en-SG"/>
              </w:rPr>
              <w:t xml:space="preserve"> </w:t>
            </w:r>
            <w:r w:rsidRPr="00AB59B0">
              <w:rPr>
                <w:color w:val="000000"/>
                <w:spacing w:val="3"/>
                <w:sz w:val="24"/>
                <w:lang w:val="en-SG"/>
              </w:rPr>
              <w:t>Appeal to the Board</w:t>
            </w:r>
          </w:p>
        </w:tc>
        <w:tc>
          <w:tcPr>
            <w:tcW w:w="5471" w:type="dxa"/>
          </w:tcPr>
          <w:p w14:paraId="5A12FE81" w14:textId="77777777" w:rsidR="00256FD8" w:rsidRDefault="00256FD8" w:rsidP="001F334E">
            <w:pPr>
              <w:jc w:val="both"/>
              <w:textAlignment w:val="baseline"/>
              <w:rPr>
                <w:color w:val="000000"/>
                <w:sz w:val="24"/>
                <w:lang w:val="en-SG"/>
              </w:rPr>
            </w:pPr>
            <w:r w:rsidRPr="00AB59B0">
              <w:rPr>
                <w:color w:val="000000"/>
                <w:sz w:val="24"/>
                <w:lang w:val="en-SG"/>
              </w:rPr>
              <w:t xml:space="preserve">If you wish to appeal against the CGST’s decision, you must file a Notice of Appeal to the Board within 30 days </w:t>
            </w:r>
            <w:r w:rsidRPr="00BF2B37">
              <w:rPr>
                <w:rFonts w:eastAsia="Times New Roman"/>
                <w:color w:val="000000"/>
                <w:sz w:val="24"/>
                <w:lang w:val="en-SG"/>
              </w:rPr>
              <w:t>after</w:t>
            </w:r>
            <w:r w:rsidRPr="00AB59B0">
              <w:rPr>
                <w:color w:val="000000"/>
                <w:sz w:val="24"/>
                <w:lang w:val="en-SG"/>
              </w:rPr>
              <w:t xml:space="preserve"> the date of the Notice of Comptroller’s Decision (e.g. by 30 June 2015).</w:t>
            </w:r>
          </w:p>
        </w:tc>
      </w:tr>
      <w:tr w:rsidR="00256FD8" w14:paraId="0F5088C7" w14:textId="77777777" w:rsidTr="00256FD8">
        <w:tc>
          <w:tcPr>
            <w:tcW w:w="481" w:type="dxa"/>
          </w:tcPr>
          <w:p w14:paraId="7EF91997"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3557BC0E" w14:textId="77777777" w:rsidR="00256FD8" w:rsidRDefault="00256FD8" w:rsidP="008A4F3B">
            <w:pPr>
              <w:tabs>
                <w:tab w:val="right" w:pos="1584"/>
              </w:tabs>
              <w:textAlignment w:val="baseline"/>
              <w:rPr>
                <w:color w:val="000000"/>
                <w:sz w:val="24"/>
                <w:lang w:val="en-SG"/>
              </w:rPr>
            </w:pPr>
            <w:r w:rsidRPr="00AB59B0">
              <w:rPr>
                <w:color w:val="000000"/>
                <w:sz w:val="24"/>
                <w:lang w:val="en-SG"/>
              </w:rPr>
              <w:t>Lodge</w:t>
            </w:r>
            <w:r w:rsidRPr="00AB59B0">
              <w:rPr>
                <w:color w:val="000000"/>
                <w:sz w:val="24"/>
                <w:lang w:val="en-SG"/>
              </w:rPr>
              <w:tab/>
            </w:r>
            <w:r>
              <w:rPr>
                <w:color w:val="000000"/>
                <w:sz w:val="24"/>
                <w:lang w:val="en-SG"/>
              </w:rPr>
              <w:t xml:space="preserve"> </w:t>
            </w:r>
            <w:r w:rsidRPr="00AB59B0">
              <w:rPr>
                <w:color w:val="000000"/>
                <w:sz w:val="24"/>
                <w:lang w:val="en-SG"/>
              </w:rPr>
              <w:t>a</w:t>
            </w:r>
            <w:r>
              <w:rPr>
                <w:color w:val="000000"/>
                <w:sz w:val="24"/>
                <w:lang w:val="en-SG"/>
              </w:rPr>
              <w:t xml:space="preserve"> </w:t>
            </w:r>
            <w:r w:rsidRPr="00AB59B0">
              <w:rPr>
                <w:color w:val="000000"/>
                <w:sz w:val="24"/>
                <w:lang w:val="en-SG"/>
              </w:rPr>
              <w:t>Petition</w:t>
            </w:r>
            <w:r>
              <w:rPr>
                <w:color w:val="000000"/>
                <w:sz w:val="24"/>
                <w:lang w:val="en-SG"/>
              </w:rPr>
              <w:t xml:space="preserve"> </w:t>
            </w:r>
            <w:r w:rsidRPr="00AB59B0">
              <w:rPr>
                <w:color w:val="000000"/>
                <w:sz w:val="24"/>
                <w:lang w:val="en-SG"/>
              </w:rPr>
              <w:t>of</w:t>
            </w:r>
            <w:r>
              <w:rPr>
                <w:color w:val="000000"/>
                <w:sz w:val="24"/>
                <w:lang w:val="en-SG"/>
              </w:rPr>
              <w:t xml:space="preserve"> </w:t>
            </w:r>
            <w:r w:rsidRPr="00AB59B0">
              <w:rPr>
                <w:color w:val="000000"/>
                <w:sz w:val="24"/>
                <w:lang w:val="en-SG"/>
              </w:rPr>
              <w:t>Appeal to the Board</w:t>
            </w:r>
          </w:p>
        </w:tc>
        <w:tc>
          <w:tcPr>
            <w:tcW w:w="5471" w:type="dxa"/>
          </w:tcPr>
          <w:p w14:paraId="01D624DB" w14:textId="77777777" w:rsidR="00256FD8" w:rsidRDefault="00256FD8" w:rsidP="001F334E">
            <w:pPr>
              <w:jc w:val="both"/>
              <w:textAlignment w:val="baseline"/>
              <w:rPr>
                <w:color w:val="000000"/>
                <w:sz w:val="24"/>
                <w:lang w:val="en-SG"/>
              </w:rPr>
            </w:pPr>
            <w:r w:rsidRPr="00AB59B0">
              <w:rPr>
                <w:color w:val="000000"/>
                <w:sz w:val="24"/>
                <w:lang w:val="en-SG"/>
              </w:rPr>
              <w:t>You will have to submit the Petition of Appeal (</w:t>
            </w:r>
            <w:r>
              <w:rPr>
                <w:color w:val="000000"/>
                <w:sz w:val="24"/>
                <w:lang w:val="en-SG"/>
              </w:rPr>
              <w:t>“</w:t>
            </w:r>
            <w:r w:rsidRPr="00AB59B0">
              <w:rPr>
                <w:color w:val="000000"/>
                <w:sz w:val="24"/>
                <w:lang w:val="en-SG"/>
              </w:rPr>
              <w:t>POA</w:t>
            </w:r>
            <w:r>
              <w:rPr>
                <w:color w:val="000000"/>
                <w:sz w:val="24"/>
                <w:lang w:val="en-SG"/>
              </w:rPr>
              <w:t>”</w:t>
            </w:r>
            <w:r w:rsidRPr="00AB59B0">
              <w:rPr>
                <w:color w:val="000000"/>
                <w:sz w:val="24"/>
                <w:lang w:val="en-SG"/>
              </w:rPr>
              <w:t xml:space="preserve">) with the detailed grounds of appeal within 30 days </w:t>
            </w:r>
            <w:r w:rsidRPr="00BF2B37">
              <w:rPr>
                <w:rFonts w:eastAsia="Times New Roman"/>
                <w:color w:val="000000"/>
                <w:sz w:val="24"/>
                <w:lang w:val="en-SG"/>
              </w:rPr>
              <w:t>after</w:t>
            </w:r>
            <w:r w:rsidRPr="00AB59B0">
              <w:rPr>
                <w:color w:val="000000"/>
                <w:sz w:val="24"/>
                <w:lang w:val="en-SG"/>
              </w:rPr>
              <w:t xml:space="preserve"> the date the Notice of Appeal was lodged with the Board (e.g. 30 July 2015 if the Notice of Appeal is submitted on 30 June 2015). The Board will inform you on the appeal number of your appeal upon receipt of your POA.</w:t>
            </w:r>
          </w:p>
        </w:tc>
      </w:tr>
      <w:tr w:rsidR="00256FD8" w14:paraId="2C6E4B69" w14:textId="77777777" w:rsidTr="00256FD8">
        <w:tc>
          <w:tcPr>
            <w:tcW w:w="481" w:type="dxa"/>
          </w:tcPr>
          <w:p w14:paraId="1F9BFC02"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3E1FAEAB" w14:textId="77777777" w:rsidR="00256FD8" w:rsidRDefault="00256FD8" w:rsidP="008A4F3B">
            <w:pPr>
              <w:textAlignment w:val="baseline"/>
              <w:rPr>
                <w:color w:val="000000"/>
                <w:sz w:val="24"/>
                <w:lang w:val="en-SG"/>
              </w:rPr>
            </w:pPr>
            <w:r w:rsidRPr="00256FD8">
              <w:rPr>
                <w:color w:val="000000"/>
                <w:sz w:val="24"/>
                <w:lang w:val="en-SG"/>
              </w:rPr>
              <w:t>Case Management</w:t>
            </w:r>
            <w:r>
              <w:rPr>
                <w:color w:val="000000"/>
                <w:sz w:val="24"/>
                <w:lang w:val="en-SG"/>
              </w:rPr>
              <w:t xml:space="preserve"> </w:t>
            </w:r>
            <w:r w:rsidRPr="00256FD8">
              <w:rPr>
                <w:color w:val="000000"/>
                <w:sz w:val="24"/>
                <w:lang w:val="en-SG"/>
              </w:rPr>
              <w:t>Conference</w:t>
            </w:r>
            <w:r>
              <w:rPr>
                <w:color w:val="000000"/>
                <w:sz w:val="24"/>
                <w:lang w:val="en-SG"/>
              </w:rPr>
              <w:t xml:space="preserve"> </w:t>
            </w:r>
            <w:r w:rsidRPr="00256FD8">
              <w:rPr>
                <w:color w:val="000000"/>
                <w:sz w:val="24"/>
                <w:lang w:val="en-SG"/>
              </w:rPr>
              <w:t>between</w:t>
            </w:r>
            <w:r>
              <w:rPr>
                <w:color w:val="000000"/>
                <w:sz w:val="24"/>
                <w:lang w:val="en-SG"/>
              </w:rPr>
              <w:t xml:space="preserve"> </w:t>
            </w:r>
            <w:r w:rsidRPr="00256FD8">
              <w:rPr>
                <w:color w:val="000000"/>
                <w:sz w:val="24"/>
                <w:lang w:val="en-SG"/>
              </w:rPr>
              <w:t xml:space="preserve">you </w:t>
            </w:r>
            <w:r>
              <w:rPr>
                <w:color w:val="000000"/>
                <w:sz w:val="24"/>
                <w:lang w:val="en-SG"/>
              </w:rPr>
              <w:t>a</w:t>
            </w:r>
            <w:r w:rsidRPr="00256FD8">
              <w:rPr>
                <w:color w:val="000000"/>
                <w:sz w:val="24"/>
                <w:lang w:val="en-SG"/>
              </w:rPr>
              <w:t>nd the CGST</w:t>
            </w:r>
          </w:p>
        </w:tc>
        <w:tc>
          <w:tcPr>
            <w:tcW w:w="5471" w:type="dxa"/>
          </w:tcPr>
          <w:p w14:paraId="607CBD12" w14:textId="0E8F7B10" w:rsidR="00256FD8" w:rsidRDefault="00256FD8" w:rsidP="001F334E">
            <w:pPr>
              <w:jc w:val="both"/>
              <w:textAlignment w:val="baseline"/>
              <w:rPr>
                <w:color w:val="000000"/>
                <w:sz w:val="24"/>
                <w:lang w:val="en-SG"/>
              </w:rPr>
            </w:pPr>
            <w:r w:rsidRPr="00256FD8">
              <w:rPr>
                <w:color w:val="000000"/>
                <w:sz w:val="24"/>
                <w:lang w:val="en-SG"/>
              </w:rPr>
              <w:t xml:space="preserve">The Board will organise a Case Management Conference (“CMC”), if necessary, within </w:t>
            </w:r>
            <w:r w:rsidR="007941DD">
              <w:rPr>
                <w:color w:val="000000"/>
                <w:sz w:val="24"/>
                <w:lang w:val="en-SG"/>
              </w:rPr>
              <w:t>6</w:t>
            </w:r>
            <w:r w:rsidRPr="00256FD8">
              <w:rPr>
                <w:color w:val="000000"/>
                <w:sz w:val="24"/>
                <w:lang w:val="en-SG"/>
              </w:rPr>
              <w:t xml:space="preserve"> to </w:t>
            </w:r>
            <w:r w:rsidR="007941DD">
              <w:rPr>
                <w:color w:val="000000"/>
                <w:sz w:val="24"/>
                <w:lang w:val="en-SG"/>
              </w:rPr>
              <w:t>8</w:t>
            </w:r>
            <w:r w:rsidRPr="00256FD8">
              <w:rPr>
                <w:color w:val="000000"/>
                <w:sz w:val="24"/>
                <w:lang w:val="en-SG"/>
              </w:rPr>
              <w:t xml:space="preserve"> weeks from the receipt of the Petition of Appeal for you and the CGST to identify the issues in dispute, to negotiate a settlement or, if a settlement is not possible, to proceed with a hearing. The Chairperson will give directions</w:t>
            </w:r>
            <w:r w:rsidRPr="00AB59B0">
              <w:rPr>
                <w:color w:val="000000"/>
                <w:sz w:val="24"/>
                <w:lang w:val="en-SG"/>
              </w:rPr>
              <w:t xml:space="preserve"> during the </w:t>
            </w:r>
            <w:r>
              <w:rPr>
                <w:color w:val="000000"/>
                <w:sz w:val="24"/>
                <w:lang w:val="en-SG"/>
              </w:rPr>
              <w:t>CMC</w:t>
            </w:r>
            <w:r w:rsidRPr="001F334E">
              <w:rPr>
                <w:color w:val="000000"/>
                <w:sz w:val="24"/>
                <w:lang w:val="en-SG"/>
              </w:rPr>
              <w:t>.</w:t>
            </w:r>
          </w:p>
        </w:tc>
      </w:tr>
      <w:tr w:rsidR="00256FD8" w14:paraId="4F1F4086" w14:textId="77777777" w:rsidTr="00256FD8">
        <w:tc>
          <w:tcPr>
            <w:tcW w:w="481" w:type="dxa"/>
          </w:tcPr>
          <w:p w14:paraId="1E4FB5E4" w14:textId="77777777" w:rsidR="00256FD8" w:rsidRPr="00256FD8" w:rsidRDefault="00256FD8" w:rsidP="00256FD8">
            <w:pPr>
              <w:pStyle w:val="ListParagraph"/>
              <w:numPr>
                <w:ilvl w:val="0"/>
                <w:numId w:val="12"/>
              </w:numPr>
              <w:jc w:val="both"/>
              <w:textAlignment w:val="baseline"/>
              <w:rPr>
                <w:color w:val="000000"/>
                <w:sz w:val="24"/>
                <w:lang w:val="en-SG"/>
              </w:rPr>
            </w:pPr>
          </w:p>
        </w:tc>
        <w:tc>
          <w:tcPr>
            <w:tcW w:w="2410" w:type="dxa"/>
          </w:tcPr>
          <w:p w14:paraId="7301AEE3" w14:textId="77777777" w:rsidR="00256FD8" w:rsidRDefault="00256FD8" w:rsidP="008A4F3B">
            <w:pPr>
              <w:textAlignment w:val="baseline"/>
              <w:rPr>
                <w:color w:val="000000"/>
                <w:sz w:val="24"/>
                <w:lang w:val="en-SG"/>
              </w:rPr>
            </w:pPr>
            <w:r w:rsidRPr="00AB59B0">
              <w:rPr>
                <w:color w:val="000000"/>
                <w:sz w:val="24"/>
                <w:lang w:val="en-SG"/>
              </w:rPr>
              <w:t>Hearing of the appeal</w:t>
            </w:r>
          </w:p>
        </w:tc>
        <w:tc>
          <w:tcPr>
            <w:tcW w:w="5471" w:type="dxa"/>
          </w:tcPr>
          <w:p w14:paraId="229F2A1C" w14:textId="77777777" w:rsidR="00256FD8" w:rsidRDefault="00256FD8" w:rsidP="001F334E">
            <w:pPr>
              <w:jc w:val="both"/>
              <w:textAlignment w:val="baseline"/>
              <w:rPr>
                <w:color w:val="000000"/>
                <w:sz w:val="24"/>
                <w:lang w:val="en-SG"/>
              </w:rPr>
            </w:pPr>
            <w:r w:rsidRPr="00AB59B0">
              <w:rPr>
                <w:color w:val="000000"/>
                <w:sz w:val="24"/>
                <w:lang w:val="en-SG"/>
              </w:rPr>
              <w:t xml:space="preserve">The secretary of the Board will notify you and the CGST on the date, time and place of the hearing, giving at least 14 days’ </w:t>
            </w:r>
            <w:r w:rsidR="006E25FF">
              <w:rPr>
                <w:color w:val="000000"/>
                <w:sz w:val="24"/>
                <w:lang w:val="en-SG"/>
              </w:rPr>
              <w:t xml:space="preserve">prior </w:t>
            </w:r>
            <w:r w:rsidRPr="00AB59B0">
              <w:rPr>
                <w:color w:val="000000"/>
                <w:sz w:val="24"/>
                <w:lang w:val="en-SG"/>
              </w:rPr>
              <w:t xml:space="preserve">notice. The Board will then hear </w:t>
            </w:r>
            <w:r w:rsidRPr="00AB59B0">
              <w:rPr>
                <w:color w:val="000000"/>
                <w:sz w:val="24"/>
                <w:lang w:val="en-SG"/>
              </w:rPr>
              <w:lastRenderedPageBreak/>
              <w:t>the appeal and</w:t>
            </w:r>
            <w:r>
              <w:rPr>
                <w:color w:val="000000"/>
                <w:sz w:val="24"/>
                <w:lang w:val="en-SG"/>
              </w:rPr>
              <w:t xml:space="preserve"> will </w:t>
            </w:r>
            <w:proofErr w:type="gramStart"/>
            <w:r w:rsidRPr="00256FD8">
              <w:rPr>
                <w:color w:val="000000"/>
                <w:sz w:val="24"/>
                <w:lang w:val="en-SG"/>
              </w:rPr>
              <w:t>make a decision</w:t>
            </w:r>
            <w:proofErr w:type="gramEnd"/>
            <w:r w:rsidRPr="00256FD8">
              <w:rPr>
                <w:color w:val="000000"/>
                <w:sz w:val="24"/>
                <w:lang w:val="en-SG"/>
              </w:rPr>
              <w:t xml:space="preserve"> based on the submissions from you and the CGST.</w:t>
            </w:r>
          </w:p>
        </w:tc>
      </w:tr>
    </w:tbl>
    <w:p w14:paraId="15FB1CFF" w14:textId="77777777" w:rsidR="00EA22C9" w:rsidRPr="00AB59B0" w:rsidRDefault="00EA22C9" w:rsidP="001F334E">
      <w:pPr>
        <w:jc w:val="both"/>
        <w:textAlignment w:val="baseline"/>
        <w:rPr>
          <w:b/>
          <w:color w:val="000000"/>
          <w:sz w:val="24"/>
          <w:lang w:val="en-SG"/>
        </w:rPr>
      </w:pPr>
    </w:p>
    <w:p w14:paraId="5D941450" w14:textId="77777777" w:rsidR="00FE7FF1" w:rsidRPr="00256FD8" w:rsidRDefault="00691323" w:rsidP="001F334E">
      <w:pPr>
        <w:numPr>
          <w:ilvl w:val="0"/>
          <w:numId w:val="1"/>
        </w:numPr>
        <w:tabs>
          <w:tab w:val="clear" w:pos="720"/>
        </w:tabs>
        <w:jc w:val="both"/>
        <w:textAlignment w:val="baseline"/>
        <w:rPr>
          <w:b/>
          <w:color w:val="000000"/>
          <w:spacing w:val="-1"/>
          <w:sz w:val="24"/>
          <w:lang w:val="en-SG"/>
        </w:rPr>
      </w:pPr>
      <w:r w:rsidRPr="00AB59B0">
        <w:rPr>
          <w:b/>
          <w:color w:val="000000"/>
          <w:sz w:val="24"/>
          <w:lang w:val="en-SG"/>
        </w:rPr>
        <w:t xml:space="preserve">What </w:t>
      </w:r>
      <w:proofErr w:type="gramStart"/>
      <w:r w:rsidRPr="00AB59B0">
        <w:rPr>
          <w:b/>
          <w:color w:val="000000"/>
          <w:sz w:val="24"/>
          <w:lang w:val="en-SG"/>
        </w:rPr>
        <w:t>is</w:t>
      </w:r>
      <w:proofErr w:type="gramEnd"/>
      <w:r w:rsidRPr="00AB59B0">
        <w:rPr>
          <w:b/>
          <w:color w:val="000000"/>
          <w:sz w:val="24"/>
          <w:lang w:val="en-SG"/>
        </w:rPr>
        <w:t xml:space="preserve"> the Goods and Services Tax Board of Review?</w:t>
      </w:r>
    </w:p>
    <w:p w14:paraId="14DC2B50" w14:textId="77777777" w:rsidR="00256FD8" w:rsidRPr="00AB59B0" w:rsidRDefault="00256FD8" w:rsidP="00256FD8">
      <w:pPr>
        <w:tabs>
          <w:tab w:val="left" w:pos="720"/>
        </w:tabs>
        <w:jc w:val="both"/>
        <w:textAlignment w:val="baseline"/>
        <w:rPr>
          <w:b/>
          <w:color w:val="000000"/>
          <w:spacing w:val="-1"/>
          <w:sz w:val="24"/>
          <w:lang w:val="en-SG"/>
        </w:rPr>
      </w:pPr>
    </w:p>
    <w:p w14:paraId="5D766544" w14:textId="05883E4F" w:rsidR="00FE7FF1" w:rsidRDefault="00691323" w:rsidP="008E7B8B">
      <w:pPr>
        <w:ind w:left="784" w:hanging="784"/>
        <w:jc w:val="both"/>
        <w:textAlignment w:val="baseline"/>
        <w:rPr>
          <w:color w:val="000000"/>
          <w:sz w:val="24"/>
          <w:lang w:val="en-SG"/>
        </w:rPr>
      </w:pPr>
      <w:r w:rsidRPr="00AB59B0">
        <w:rPr>
          <w:color w:val="000000"/>
          <w:sz w:val="24"/>
          <w:lang w:val="en-SG"/>
        </w:rPr>
        <w:t xml:space="preserve">3.1. </w:t>
      </w:r>
      <w:r w:rsidR="00EA22C9" w:rsidRPr="00AB59B0">
        <w:rPr>
          <w:color w:val="000000"/>
          <w:sz w:val="24"/>
          <w:lang w:val="en-SG"/>
        </w:rPr>
        <w:tab/>
      </w:r>
      <w:r w:rsidRPr="00AB59B0">
        <w:rPr>
          <w:color w:val="000000"/>
          <w:sz w:val="24"/>
          <w:lang w:val="en-SG"/>
        </w:rPr>
        <w:t xml:space="preserve">The Board is an independent board </w:t>
      </w:r>
      <w:r w:rsidR="002B5CC4" w:rsidRPr="00BF2B37">
        <w:rPr>
          <w:rFonts w:eastAsia="Times New Roman"/>
          <w:color w:val="000000"/>
          <w:sz w:val="24"/>
          <w:lang w:val="en-SG"/>
        </w:rPr>
        <w:t>constituted by the Goods and Services Tax Act</w:t>
      </w:r>
      <w:r w:rsidRPr="00AB59B0">
        <w:rPr>
          <w:color w:val="000000"/>
          <w:sz w:val="24"/>
          <w:lang w:val="en-SG"/>
        </w:rPr>
        <w:t>.</w:t>
      </w:r>
    </w:p>
    <w:p w14:paraId="2217CD4D" w14:textId="77777777" w:rsidR="00426F58" w:rsidRPr="00AB59B0" w:rsidRDefault="00426F58" w:rsidP="008E7B8B">
      <w:pPr>
        <w:ind w:left="784" w:hanging="784"/>
        <w:jc w:val="both"/>
        <w:textAlignment w:val="baseline"/>
        <w:rPr>
          <w:color w:val="000000"/>
          <w:sz w:val="24"/>
          <w:lang w:val="en-SG"/>
        </w:rPr>
      </w:pPr>
    </w:p>
    <w:p w14:paraId="062BD686" w14:textId="4F5BC992" w:rsidR="00FE7FF1" w:rsidRDefault="00691323" w:rsidP="008E7B8B">
      <w:pPr>
        <w:ind w:left="784" w:hanging="784"/>
        <w:jc w:val="both"/>
        <w:textAlignment w:val="baseline"/>
        <w:rPr>
          <w:color w:val="000000"/>
          <w:sz w:val="24"/>
          <w:lang w:val="en-SG"/>
        </w:rPr>
      </w:pPr>
      <w:r w:rsidRPr="00AB59B0">
        <w:rPr>
          <w:color w:val="000000"/>
          <w:sz w:val="24"/>
          <w:lang w:val="en-SG"/>
        </w:rPr>
        <w:t xml:space="preserve">3.2. </w:t>
      </w:r>
      <w:r w:rsidR="00EA22C9" w:rsidRPr="00AB59B0">
        <w:rPr>
          <w:color w:val="000000"/>
          <w:sz w:val="24"/>
          <w:lang w:val="en-SG"/>
        </w:rPr>
        <w:tab/>
      </w:r>
      <w:r w:rsidRPr="00AB59B0">
        <w:rPr>
          <w:color w:val="000000"/>
          <w:sz w:val="24"/>
          <w:lang w:val="en-SG"/>
        </w:rPr>
        <w:t>The Board comprises the Chairperson</w:t>
      </w:r>
      <w:r w:rsidR="003B32E9">
        <w:rPr>
          <w:color w:val="000000"/>
          <w:sz w:val="24"/>
          <w:lang w:val="en-SG"/>
        </w:rPr>
        <w:t>, Deputy Chairperson(s)</w:t>
      </w:r>
      <w:r w:rsidRPr="00AB59B0">
        <w:rPr>
          <w:color w:val="000000"/>
          <w:sz w:val="24"/>
          <w:lang w:val="en-SG"/>
        </w:rPr>
        <w:t xml:space="preserve"> and other members who are qualified persons appointed by the Minister for Finance to hear and decide Goods and Services Tax appeals. The </w:t>
      </w:r>
      <w:r w:rsidR="00D25EE5">
        <w:rPr>
          <w:color w:val="000000"/>
          <w:sz w:val="24"/>
          <w:lang w:val="en-SG"/>
        </w:rPr>
        <w:t>B</w:t>
      </w:r>
      <w:r w:rsidRPr="00AB59B0">
        <w:rPr>
          <w:color w:val="000000"/>
          <w:sz w:val="24"/>
          <w:lang w:val="en-SG"/>
        </w:rPr>
        <w:t>oard members are independently appointed and are not connected to the IRAS and the CGST.</w:t>
      </w:r>
    </w:p>
    <w:p w14:paraId="5AD17419" w14:textId="77777777" w:rsidR="00426F58" w:rsidRPr="00AB59B0" w:rsidRDefault="00426F58" w:rsidP="008E7B8B">
      <w:pPr>
        <w:ind w:left="784" w:hanging="784"/>
        <w:jc w:val="both"/>
        <w:textAlignment w:val="baseline"/>
        <w:rPr>
          <w:color w:val="000000"/>
          <w:sz w:val="24"/>
          <w:lang w:val="en-SG"/>
        </w:rPr>
      </w:pPr>
    </w:p>
    <w:p w14:paraId="305FBD5F" w14:textId="64F97C17" w:rsidR="00FE7FF1" w:rsidRDefault="00691323" w:rsidP="008E7B8B">
      <w:pPr>
        <w:ind w:left="784" w:hanging="784"/>
        <w:jc w:val="both"/>
        <w:textAlignment w:val="baseline"/>
        <w:rPr>
          <w:color w:val="000000"/>
          <w:sz w:val="24"/>
          <w:lang w:val="en-SG"/>
        </w:rPr>
      </w:pPr>
      <w:r w:rsidRPr="00AB59B0">
        <w:rPr>
          <w:color w:val="000000"/>
          <w:sz w:val="24"/>
          <w:lang w:val="en-SG"/>
        </w:rPr>
        <w:t xml:space="preserve">3.3. </w:t>
      </w:r>
      <w:r w:rsidR="00EA22C9" w:rsidRPr="00AB59B0">
        <w:rPr>
          <w:color w:val="000000"/>
          <w:sz w:val="24"/>
          <w:lang w:val="en-SG"/>
        </w:rPr>
        <w:tab/>
      </w:r>
      <w:r w:rsidRPr="00AB59B0">
        <w:rPr>
          <w:color w:val="000000"/>
          <w:sz w:val="24"/>
          <w:lang w:val="en-SG"/>
        </w:rPr>
        <w:t>Details of the Board’s Chairperson</w:t>
      </w:r>
      <w:r w:rsidR="003B32E9">
        <w:rPr>
          <w:color w:val="000000"/>
          <w:sz w:val="24"/>
          <w:lang w:val="en-SG"/>
        </w:rPr>
        <w:t>, Deputy Chairperson(s)</w:t>
      </w:r>
      <w:r w:rsidRPr="00AB59B0">
        <w:rPr>
          <w:color w:val="000000"/>
          <w:sz w:val="24"/>
          <w:lang w:val="en-SG"/>
        </w:rPr>
        <w:t xml:space="preserve"> and other members of the Board can be found on the Singapore Government Directory Interactive (“SGDI”) websit</w:t>
      </w:r>
      <w:r w:rsidR="004F7BFE">
        <w:rPr>
          <w:color w:val="000000"/>
          <w:sz w:val="24"/>
          <w:lang w:val="en-SG"/>
        </w:rPr>
        <w:t>e</w:t>
      </w:r>
      <w:r w:rsidR="004F7BFE">
        <w:rPr>
          <w:rStyle w:val="FootnoteReference"/>
          <w:color w:val="000000"/>
          <w:sz w:val="24"/>
          <w:lang w:val="en-SG"/>
        </w:rPr>
        <w:footnoteReference w:id="2"/>
      </w:r>
      <w:r w:rsidRPr="00AB59B0">
        <w:rPr>
          <w:color w:val="000000"/>
          <w:sz w:val="24"/>
          <w:lang w:val="en-SG"/>
        </w:rPr>
        <w:t>.</w:t>
      </w:r>
    </w:p>
    <w:p w14:paraId="63F0BAA1" w14:textId="77777777" w:rsidR="00256FD8" w:rsidRPr="00AB59B0" w:rsidRDefault="00256FD8" w:rsidP="001F334E">
      <w:pPr>
        <w:ind w:left="648" w:hanging="648"/>
        <w:jc w:val="both"/>
        <w:textAlignment w:val="baseline"/>
        <w:rPr>
          <w:color w:val="000000"/>
          <w:sz w:val="24"/>
          <w:lang w:val="en-SG"/>
        </w:rPr>
      </w:pPr>
    </w:p>
    <w:p w14:paraId="25349984" w14:textId="77777777" w:rsidR="00FE7FF1" w:rsidRDefault="00691323" w:rsidP="001F334E">
      <w:pPr>
        <w:pStyle w:val="ListParagraph"/>
        <w:numPr>
          <w:ilvl w:val="0"/>
          <w:numId w:val="1"/>
        </w:numPr>
        <w:tabs>
          <w:tab w:val="clear" w:pos="720"/>
        </w:tabs>
        <w:ind w:left="0"/>
        <w:jc w:val="both"/>
        <w:textAlignment w:val="baseline"/>
        <w:rPr>
          <w:b/>
          <w:color w:val="000000"/>
          <w:sz w:val="24"/>
          <w:lang w:val="en-SG"/>
        </w:rPr>
      </w:pPr>
      <w:r w:rsidRPr="00AB59B0">
        <w:rPr>
          <w:b/>
          <w:color w:val="000000"/>
          <w:sz w:val="24"/>
          <w:lang w:val="en-SG"/>
        </w:rPr>
        <w:t>Goods and Services Tax Assessment and Objection Process</w:t>
      </w:r>
    </w:p>
    <w:p w14:paraId="6DF22D6C" w14:textId="77777777" w:rsidR="00256FD8" w:rsidRPr="00AB59B0" w:rsidRDefault="00256FD8" w:rsidP="00256FD8">
      <w:pPr>
        <w:pStyle w:val="ListParagraph"/>
        <w:tabs>
          <w:tab w:val="left" w:pos="720"/>
        </w:tabs>
        <w:ind w:left="0"/>
        <w:jc w:val="both"/>
        <w:textAlignment w:val="baseline"/>
        <w:rPr>
          <w:b/>
          <w:color w:val="000000"/>
          <w:sz w:val="24"/>
          <w:lang w:val="en-SG"/>
        </w:rPr>
      </w:pPr>
    </w:p>
    <w:p w14:paraId="7EC58B95" w14:textId="29ADBA64" w:rsidR="00FE7FF1" w:rsidRDefault="00691323" w:rsidP="008E7B8B">
      <w:pPr>
        <w:ind w:left="756" w:hanging="742"/>
        <w:jc w:val="both"/>
        <w:textAlignment w:val="baseline"/>
        <w:rPr>
          <w:color w:val="000000"/>
          <w:sz w:val="24"/>
          <w:lang w:val="en-SG"/>
        </w:rPr>
      </w:pPr>
      <w:r w:rsidRPr="00AB59B0">
        <w:rPr>
          <w:color w:val="000000"/>
          <w:sz w:val="24"/>
          <w:lang w:val="en-SG"/>
        </w:rPr>
        <w:t xml:space="preserve">4.1. </w:t>
      </w:r>
      <w:r w:rsidR="00814443" w:rsidRPr="00AB59B0">
        <w:rPr>
          <w:color w:val="000000"/>
          <w:sz w:val="24"/>
          <w:lang w:val="en-SG"/>
        </w:rPr>
        <w:tab/>
      </w:r>
      <w:r w:rsidRPr="00AB59B0">
        <w:rPr>
          <w:color w:val="000000"/>
          <w:sz w:val="24"/>
          <w:lang w:val="en-SG"/>
        </w:rPr>
        <w:t>The CGST is empowered under the GSTA</w:t>
      </w:r>
      <w:r w:rsidR="004F7BFE">
        <w:rPr>
          <w:rStyle w:val="FootnoteReference"/>
          <w:color w:val="000000"/>
          <w:sz w:val="24"/>
          <w:lang w:val="en-SG"/>
        </w:rPr>
        <w:footnoteReference w:id="3"/>
      </w:r>
      <w:r w:rsidRPr="00AB59B0">
        <w:rPr>
          <w:color w:val="000000"/>
          <w:sz w:val="24"/>
          <w:lang w:val="en-SG"/>
        </w:rPr>
        <w:t xml:space="preserve"> to raise assessments </w:t>
      </w:r>
      <w:r w:rsidR="001F359F">
        <w:rPr>
          <w:color w:val="000000"/>
          <w:sz w:val="24"/>
          <w:lang w:val="en-SG"/>
        </w:rPr>
        <w:t xml:space="preserve">(such as </w:t>
      </w:r>
      <w:r w:rsidR="006A2EC5">
        <w:rPr>
          <w:color w:val="000000"/>
          <w:sz w:val="24"/>
          <w:lang w:val="en-SG"/>
        </w:rPr>
        <w:t>where you fail to make the required returns</w:t>
      </w:r>
      <w:r w:rsidR="001F359F">
        <w:rPr>
          <w:color w:val="000000"/>
          <w:sz w:val="24"/>
          <w:lang w:val="en-SG"/>
        </w:rPr>
        <w:t xml:space="preserve"> or submit</w:t>
      </w:r>
      <w:r w:rsidR="006A2EC5">
        <w:rPr>
          <w:color w:val="000000"/>
          <w:sz w:val="24"/>
          <w:lang w:val="en-SG"/>
        </w:rPr>
        <w:t xml:space="preserve"> incomplete or incorrect</w:t>
      </w:r>
      <w:r w:rsidR="001F359F">
        <w:rPr>
          <w:color w:val="000000"/>
          <w:sz w:val="24"/>
          <w:lang w:val="en-SG"/>
        </w:rPr>
        <w:t xml:space="preserve"> returns)</w:t>
      </w:r>
      <w:r w:rsidR="006A2EC5">
        <w:rPr>
          <w:color w:val="000000"/>
          <w:sz w:val="24"/>
          <w:lang w:val="en-SG"/>
        </w:rPr>
        <w:t xml:space="preserve"> </w:t>
      </w:r>
      <w:r w:rsidRPr="00AB59B0">
        <w:rPr>
          <w:color w:val="000000"/>
          <w:sz w:val="24"/>
          <w:lang w:val="en-SG"/>
        </w:rPr>
        <w:t>based on the information furnished by you, or in the absence of information, to the best of his judgment.</w:t>
      </w:r>
      <w:r w:rsidR="001F359F">
        <w:rPr>
          <w:color w:val="000000"/>
          <w:sz w:val="24"/>
          <w:lang w:val="en-SG"/>
        </w:rPr>
        <w:t xml:space="preserve"> </w:t>
      </w:r>
    </w:p>
    <w:p w14:paraId="7B88BD00" w14:textId="77777777" w:rsidR="008E7B8B" w:rsidRPr="00AB59B0" w:rsidRDefault="008E7B8B" w:rsidP="008E7B8B">
      <w:pPr>
        <w:ind w:left="756" w:hanging="742"/>
        <w:jc w:val="both"/>
        <w:textAlignment w:val="baseline"/>
        <w:rPr>
          <w:color w:val="000000"/>
          <w:sz w:val="24"/>
          <w:lang w:val="en-SG"/>
        </w:rPr>
      </w:pPr>
    </w:p>
    <w:p w14:paraId="47C79C2A" w14:textId="77777777" w:rsidR="00FE7FF1" w:rsidRDefault="00691323" w:rsidP="008E7B8B">
      <w:pPr>
        <w:ind w:left="756" w:hanging="742"/>
        <w:jc w:val="both"/>
        <w:textAlignment w:val="baseline"/>
        <w:rPr>
          <w:color w:val="000000"/>
          <w:sz w:val="24"/>
          <w:lang w:val="en-SG"/>
        </w:rPr>
      </w:pPr>
      <w:r w:rsidRPr="00AB59B0">
        <w:rPr>
          <w:color w:val="000000"/>
          <w:sz w:val="24"/>
          <w:lang w:val="en-SG"/>
        </w:rPr>
        <w:t xml:space="preserve">4.2. </w:t>
      </w:r>
      <w:r w:rsidR="00814443" w:rsidRPr="00AB59B0">
        <w:rPr>
          <w:color w:val="000000"/>
          <w:sz w:val="24"/>
          <w:lang w:val="en-SG"/>
        </w:rPr>
        <w:tab/>
      </w:r>
      <w:r w:rsidRPr="00AB59B0">
        <w:rPr>
          <w:color w:val="000000"/>
          <w:sz w:val="24"/>
          <w:lang w:val="en-SG"/>
        </w:rPr>
        <w:t xml:space="preserve">If you do not agree with an assessment raised by the CGST, a written notice of objection and the precise grounds of your objection must be filed with the CGST </w:t>
      </w:r>
      <w:r w:rsidRPr="00AB59B0">
        <w:rPr>
          <w:color w:val="000000"/>
          <w:sz w:val="24"/>
          <w:u w:val="single"/>
          <w:lang w:val="en-SG"/>
        </w:rPr>
        <w:t>within 30 day</w:t>
      </w:r>
      <w:r w:rsidR="004F7BFE">
        <w:rPr>
          <w:color w:val="000000"/>
          <w:sz w:val="24"/>
          <w:u w:val="single"/>
          <w:lang w:val="en-SG"/>
        </w:rPr>
        <w:t>s</w:t>
      </w:r>
      <w:r w:rsidR="004F7BFE">
        <w:rPr>
          <w:rStyle w:val="FootnoteReference"/>
          <w:color w:val="000000"/>
          <w:sz w:val="24"/>
          <w:u w:val="single"/>
          <w:lang w:val="en-SG"/>
        </w:rPr>
        <w:footnoteReference w:id="4"/>
      </w:r>
      <w:r w:rsidRPr="001F359F">
        <w:rPr>
          <w:color w:val="000000"/>
          <w:sz w:val="24"/>
          <w:lang w:val="en-SG"/>
        </w:rPr>
        <w:t xml:space="preserve"> </w:t>
      </w:r>
      <w:r w:rsidRPr="00AB59B0">
        <w:rPr>
          <w:color w:val="000000"/>
          <w:sz w:val="24"/>
          <w:lang w:val="en-SG"/>
        </w:rPr>
        <w:t>from the date of the Notice of Assessment</w:t>
      </w:r>
      <w:r w:rsidR="001F359F">
        <w:rPr>
          <w:color w:val="000000"/>
          <w:sz w:val="24"/>
          <w:lang w:val="en-SG"/>
        </w:rPr>
        <w:t>, unless the CGST grants an extension of time</w:t>
      </w:r>
      <w:r w:rsidRPr="00AB59B0">
        <w:rPr>
          <w:color w:val="000000"/>
          <w:sz w:val="24"/>
          <w:lang w:val="en-SG"/>
        </w:rPr>
        <w:t>. If no valid objection has been filed within the stipulated time, the CGST’s assessment is final.</w:t>
      </w:r>
    </w:p>
    <w:p w14:paraId="4FBED824" w14:textId="77777777" w:rsidR="008E7B8B" w:rsidRPr="00AB59B0" w:rsidRDefault="008E7B8B" w:rsidP="008E7B8B">
      <w:pPr>
        <w:ind w:left="756" w:hanging="742"/>
        <w:jc w:val="both"/>
        <w:textAlignment w:val="baseline"/>
        <w:rPr>
          <w:color w:val="000000"/>
          <w:sz w:val="24"/>
          <w:lang w:val="en-SG"/>
        </w:rPr>
      </w:pPr>
    </w:p>
    <w:p w14:paraId="6776B198" w14:textId="4CF1A68F" w:rsidR="00FE7FF1" w:rsidRDefault="00691323" w:rsidP="008E7B8B">
      <w:pPr>
        <w:ind w:left="756" w:hanging="742"/>
        <w:jc w:val="both"/>
        <w:textAlignment w:val="baseline"/>
        <w:rPr>
          <w:color w:val="000000"/>
          <w:sz w:val="24"/>
          <w:lang w:val="en-SG"/>
        </w:rPr>
      </w:pPr>
      <w:r w:rsidRPr="00AB59B0">
        <w:rPr>
          <w:color w:val="000000"/>
          <w:sz w:val="24"/>
          <w:lang w:val="en-SG"/>
        </w:rPr>
        <w:t xml:space="preserve">4.3. </w:t>
      </w:r>
      <w:r w:rsidR="00814443" w:rsidRPr="00AB59B0">
        <w:rPr>
          <w:color w:val="000000"/>
          <w:sz w:val="24"/>
          <w:lang w:val="en-SG"/>
        </w:rPr>
        <w:tab/>
      </w:r>
      <w:r w:rsidRPr="00AB59B0">
        <w:rPr>
          <w:color w:val="000000"/>
          <w:sz w:val="24"/>
          <w:lang w:val="en-SG"/>
        </w:rPr>
        <w:t xml:space="preserve">The objection process </w:t>
      </w:r>
      <w:r w:rsidR="00FA359C">
        <w:rPr>
          <w:color w:val="000000"/>
          <w:sz w:val="24"/>
          <w:lang w:val="en-SG"/>
        </w:rPr>
        <w:t>may also be</w:t>
      </w:r>
      <w:r w:rsidRPr="00AB59B0">
        <w:rPr>
          <w:color w:val="000000"/>
          <w:sz w:val="24"/>
          <w:lang w:val="en-SG"/>
        </w:rPr>
        <w:t xml:space="preserve"> applicable</w:t>
      </w:r>
      <w:r w:rsidR="00BF2B37">
        <w:rPr>
          <w:rFonts w:eastAsia="Times New Roman"/>
          <w:color w:val="000000"/>
          <w:sz w:val="24"/>
          <w:lang w:val="en-SG"/>
        </w:rPr>
        <w:t xml:space="preserve"> where</w:t>
      </w:r>
      <w:r w:rsidR="00BF2B37" w:rsidRPr="00AB59B0">
        <w:rPr>
          <w:color w:val="000000"/>
          <w:sz w:val="24"/>
          <w:lang w:val="en-SG"/>
        </w:rPr>
        <w:t xml:space="preserve"> </w:t>
      </w:r>
      <w:r w:rsidRPr="00AB59B0">
        <w:rPr>
          <w:color w:val="000000"/>
          <w:sz w:val="24"/>
          <w:lang w:val="en-SG"/>
        </w:rPr>
        <w:t>no Notice of Assessment (</w:t>
      </w:r>
      <w:r w:rsidR="008E7B8B">
        <w:rPr>
          <w:color w:val="000000"/>
          <w:sz w:val="24"/>
          <w:lang w:val="en-SG"/>
        </w:rPr>
        <w:t>“</w:t>
      </w:r>
      <w:r w:rsidRPr="00AB59B0">
        <w:rPr>
          <w:color w:val="000000"/>
          <w:sz w:val="24"/>
          <w:lang w:val="en-SG"/>
        </w:rPr>
        <w:t>NOA</w:t>
      </w:r>
      <w:r w:rsidR="008E7B8B">
        <w:rPr>
          <w:color w:val="000000"/>
          <w:sz w:val="24"/>
          <w:lang w:val="en-SG"/>
        </w:rPr>
        <w:t>”</w:t>
      </w:r>
      <w:r w:rsidRPr="00AB59B0">
        <w:rPr>
          <w:color w:val="000000"/>
          <w:sz w:val="24"/>
          <w:lang w:val="en-SG"/>
        </w:rPr>
        <w:t>) was issued by the CGS</w:t>
      </w:r>
      <w:r w:rsidR="004F7BFE">
        <w:rPr>
          <w:color w:val="000000"/>
          <w:sz w:val="24"/>
          <w:lang w:val="en-SG"/>
        </w:rPr>
        <w:t>T</w:t>
      </w:r>
      <w:r w:rsidR="004F7BFE">
        <w:rPr>
          <w:rStyle w:val="FootnoteReference"/>
          <w:color w:val="000000"/>
          <w:sz w:val="24"/>
          <w:lang w:val="en-SG"/>
        </w:rPr>
        <w:footnoteReference w:id="5"/>
      </w:r>
      <w:r w:rsidRPr="00AB59B0">
        <w:rPr>
          <w:color w:val="000000"/>
          <w:sz w:val="24"/>
          <w:lang w:val="en-SG"/>
        </w:rPr>
        <w:t>.</w:t>
      </w:r>
    </w:p>
    <w:p w14:paraId="4F881039" w14:textId="77777777" w:rsidR="008E7B8B" w:rsidRPr="00AB59B0" w:rsidRDefault="008E7B8B" w:rsidP="008E7B8B">
      <w:pPr>
        <w:ind w:left="756" w:hanging="742"/>
        <w:jc w:val="both"/>
        <w:textAlignment w:val="baseline"/>
        <w:rPr>
          <w:color w:val="000000"/>
          <w:sz w:val="24"/>
          <w:lang w:val="en-SG"/>
        </w:rPr>
      </w:pPr>
    </w:p>
    <w:p w14:paraId="31E34C26" w14:textId="77777777" w:rsidR="00FE7FF1" w:rsidRDefault="00691323" w:rsidP="008E7B8B">
      <w:pPr>
        <w:ind w:left="756" w:hanging="742"/>
        <w:jc w:val="both"/>
        <w:textAlignment w:val="baseline"/>
        <w:rPr>
          <w:color w:val="000000"/>
          <w:sz w:val="24"/>
          <w:lang w:val="en-SG"/>
        </w:rPr>
      </w:pPr>
      <w:r w:rsidRPr="00AB59B0">
        <w:rPr>
          <w:color w:val="000000"/>
          <w:sz w:val="24"/>
          <w:lang w:val="en-SG"/>
        </w:rPr>
        <w:t xml:space="preserve">4.4. </w:t>
      </w:r>
      <w:r w:rsidR="00814443" w:rsidRPr="00AB59B0">
        <w:rPr>
          <w:color w:val="000000"/>
          <w:sz w:val="24"/>
          <w:lang w:val="en-SG"/>
        </w:rPr>
        <w:tab/>
      </w:r>
      <w:r w:rsidRPr="00AB59B0">
        <w:rPr>
          <w:color w:val="000000"/>
          <w:sz w:val="24"/>
          <w:lang w:val="en-SG"/>
        </w:rPr>
        <w:t>After reviewing the notice of objection, the CGST will inform you in writing whether your objection is accepted. The CGST may also request for additional information to verify your claims. If you and the CGST are unable to reach an agreement on the assessment, the CGST will issue a Notice of Comptroller’s Decisio</w:t>
      </w:r>
      <w:r w:rsidR="004F7BFE">
        <w:rPr>
          <w:color w:val="000000"/>
          <w:sz w:val="24"/>
          <w:lang w:val="en-SG"/>
        </w:rPr>
        <w:t>n</w:t>
      </w:r>
      <w:r w:rsidR="004F7BFE">
        <w:rPr>
          <w:rStyle w:val="FootnoteReference"/>
          <w:color w:val="000000"/>
          <w:sz w:val="24"/>
          <w:lang w:val="en-SG"/>
        </w:rPr>
        <w:footnoteReference w:id="6"/>
      </w:r>
      <w:r w:rsidRPr="00AB59B0">
        <w:rPr>
          <w:color w:val="000000"/>
          <w:sz w:val="24"/>
          <w:lang w:val="en-SG"/>
        </w:rPr>
        <w:t xml:space="preserve"> to inform you of his decision and your right to appeal to the Board.</w:t>
      </w:r>
    </w:p>
    <w:p w14:paraId="77ED27CA" w14:textId="77777777" w:rsidR="00256FD8" w:rsidRPr="00AB59B0" w:rsidRDefault="00256FD8" w:rsidP="00256FD8">
      <w:pPr>
        <w:jc w:val="both"/>
        <w:textAlignment w:val="baseline"/>
        <w:rPr>
          <w:color w:val="000000"/>
          <w:sz w:val="24"/>
          <w:lang w:val="en-SG"/>
        </w:rPr>
      </w:pPr>
    </w:p>
    <w:p w14:paraId="601C765A" w14:textId="6D8F8D34" w:rsidR="00FE7FF1" w:rsidRDefault="00691323" w:rsidP="001F334E">
      <w:pPr>
        <w:numPr>
          <w:ilvl w:val="0"/>
          <w:numId w:val="1"/>
        </w:numPr>
        <w:tabs>
          <w:tab w:val="left" w:pos="648"/>
        </w:tabs>
        <w:jc w:val="both"/>
        <w:textAlignment w:val="baseline"/>
        <w:rPr>
          <w:b/>
          <w:color w:val="000000"/>
          <w:sz w:val="24"/>
          <w:lang w:val="en-SG"/>
        </w:rPr>
      </w:pPr>
      <w:r w:rsidRPr="00AB59B0">
        <w:rPr>
          <w:b/>
          <w:color w:val="000000"/>
          <w:sz w:val="24"/>
          <w:lang w:val="en-SG"/>
        </w:rPr>
        <w:t xml:space="preserve">When can I </w:t>
      </w:r>
      <w:r w:rsidR="008E7B8B">
        <w:rPr>
          <w:b/>
          <w:color w:val="000000"/>
          <w:sz w:val="24"/>
          <w:lang w:val="en-SG"/>
        </w:rPr>
        <w:t>a</w:t>
      </w:r>
      <w:r w:rsidRPr="00AB59B0">
        <w:rPr>
          <w:b/>
          <w:color w:val="000000"/>
          <w:sz w:val="24"/>
          <w:lang w:val="en-SG"/>
        </w:rPr>
        <w:t>ppeal to the Board of Review?</w:t>
      </w:r>
    </w:p>
    <w:p w14:paraId="3EF55235" w14:textId="77777777" w:rsidR="008E7B8B" w:rsidRPr="00AB59B0" w:rsidRDefault="008E7B8B" w:rsidP="008E7B8B">
      <w:pPr>
        <w:tabs>
          <w:tab w:val="left" w:pos="648"/>
          <w:tab w:val="left" w:pos="720"/>
        </w:tabs>
        <w:jc w:val="both"/>
        <w:textAlignment w:val="baseline"/>
        <w:rPr>
          <w:b/>
          <w:color w:val="000000"/>
          <w:sz w:val="24"/>
          <w:lang w:val="en-SG"/>
        </w:rPr>
      </w:pPr>
    </w:p>
    <w:p w14:paraId="645F8A3A" w14:textId="77777777" w:rsidR="00FE7FF1" w:rsidRDefault="00691323" w:rsidP="001F334E">
      <w:pPr>
        <w:tabs>
          <w:tab w:val="left" w:pos="792"/>
        </w:tabs>
        <w:ind w:left="720" w:hanging="720"/>
        <w:jc w:val="both"/>
        <w:textAlignment w:val="baseline"/>
        <w:rPr>
          <w:color w:val="000000"/>
          <w:sz w:val="24"/>
          <w:lang w:val="en-SG"/>
        </w:rPr>
      </w:pPr>
      <w:r w:rsidRPr="00AB59B0">
        <w:rPr>
          <w:color w:val="000000"/>
          <w:sz w:val="24"/>
          <w:lang w:val="en-SG"/>
        </w:rPr>
        <w:t>5.1.</w:t>
      </w:r>
      <w:r w:rsidRPr="00AB59B0">
        <w:rPr>
          <w:color w:val="000000"/>
          <w:sz w:val="24"/>
          <w:lang w:val="en-SG"/>
        </w:rPr>
        <w:tab/>
        <w:t>You can only appeal to the Board after receiving the Notice of Comptroller’s Decision from the CGST. Specifically, after receiving the Notice of Comptroller’s Decision, you have the option to:</w:t>
      </w:r>
    </w:p>
    <w:p w14:paraId="4046BE25" w14:textId="77777777" w:rsidR="008E7B8B" w:rsidRDefault="008E7B8B" w:rsidP="001F334E">
      <w:pPr>
        <w:tabs>
          <w:tab w:val="left" w:pos="792"/>
        </w:tabs>
        <w:ind w:left="720" w:hanging="720"/>
        <w:jc w:val="both"/>
        <w:textAlignment w:val="baseline"/>
        <w:rPr>
          <w:color w:val="000000"/>
          <w:sz w:val="24"/>
          <w:lang w:val="en-SG"/>
        </w:rPr>
      </w:pPr>
    </w:p>
    <w:p w14:paraId="74F95A92" w14:textId="77777777" w:rsidR="00FE7FF1" w:rsidRPr="00AB59B0" w:rsidRDefault="00691323" w:rsidP="001F334E">
      <w:pPr>
        <w:numPr>
          <w:ilvl w:val="0"/>
          <w:numId w:val="4"/>
        </w:numPr>
        <w:tabs>
          <w:tab w:val="clear" w:pos="432"/>
          <w:tab w:val="left" w:pos="1152"/>
        </w:tabs>
        <w:ind w:left="1152" w:hanging="432"/>
        <w:jc w:val="both"/>
        <w:textAlignment w:val="baseline"/>
        <w:rPr>
          <w:color w:val="000000"/>
          <w:sz w:val="24"/>
          <w:lang w:val="en-SG"/>
        </w:rPr>
      </w:pPr>
      <w:r w:rsidRPr="00AB59B0">
        <w:rPr>
          <w:color w:val="000000"/>
          <w:sz w:val="24"/>
          <w:lang w:val="en-SG"/>
        </w:rPr>
        <w:t>Accept the CGST’s decision on the issue under objection. If so, the assessment will be regarded as final and conclusive; or</w:t>
      </w:r>
    </w:p>
    <w:p w14:paraId="1D1477AC" w14:textId="77777777" w:rsidR="00FE7FF1" w:rsidRDefault="00691323" w:rsidP="001F334E">
      <w:pPr>
        <w:numPr>
          <w:ilvl w:val="0"/>
          <w:numId w:val="4"/>
        </w:numPr>
        <w:tabs>
          <w:tab w:val="clear" w:pos="432"/>
          <w:tab w:val="left" w:pos="1152"/>
        </w:tabs>
        <w:ind w:left="1152" w:hanging="432"/>
        <w:jc w:val="both"/>
        <w:textAlignment w:val="baseline"/>
        <w:rPr>
          <w:color w:val="000000"/>
          <w:sz w:val="24"/>
          <w:lang w:val="en-SG"/>
        </w:rPr>
      </w:pPr>
      <w:r w:rsidRPr="00AB59B0">
        <w:rPr>
          <w:color w:val="000000"/>
          <w:sz w:val="24"/>
          <w:lang w:val="en-SG"/>
        </w:rPr>
        <w:lastRenderedPageBreak/>
        <w:t xml:space="preserve">File a Notice of Appeal to the Board </w:t>
      </w:r>
      <w:r w:rsidRPr="00AB59B0">
        <w:rPr>
          <w:color w:val="000000"/>
          <w:sz w:val="24"/>
          <w:u w:val="single"/>
          <w:lang w:val="en-SG"/>
        </w:rPr>
        <w:t>within 30 days</w:t>
      </w:r>
      <w:r w:rsidRPr="00AB59B0">
        <w:rPr>
          <w:color w:val="000000"/>
          <w:sz w:val="24"/>
          <w:lang w:val="en-SG"/>
        </w:rPr>
        <w:t xml:space="preserve"> </w:t>
      </w:r>
      <w:r w:rsidR="002B5CC4" w:rsidRPr="00BF2B37">
        <w:rPr>
          <w:rFonts w:eastAsia="Times New Roman"/>
          <w:color w:val="000000"/>
          <w:sz w:val="24"/>
          <w:lang w:val="en-SG"/>
        </w:rPr>
        <w:t>after</w:t>
      </w:r>
      <w:r w:rsidR="002B5CC4" w:rsidRPr="00AB59B0">
        <w:rPr>
          <w:color w:val="000000"/>
          <w:sz w:val="24"/>
          <w:lang w:val="en-SG"/>
        </w:rPr>
        <w:t xml:space="preserve"> </w:t>
      </w:r>
      <w:r w:rsidRPr="00AB59B0">
        <w:rPr>
          <w:color w:val="000000"/>
          <w:sz w:val="24"/>
          <w:lang w:val="en-SG"/>
        </w:rPr>
        <w:t>the date of the Notice of Comptroller’s Decision.</w:t>
      </w:r>
    </w:p>
    <w:p w14:paraId="353FB2DD" w14:textId="77777777" w:rsidR="00256FD8" w:rsidRPr="00AB59B0" w:rsidRDefault="00256FD8" w:rsidP="00256FD8">
      <w:pPr>
        <w:tabs>
          <w:tab w:val="left" w:pos="432"/>
          <w:tab w:val="left" w:pos="1152"/>
        </w:tabs>
        <w:ind w:left="1152"/>
        <w:jc w:val="both"/>
        <w:textAlignment w:val="baseline"/>
        <w:rPr>
          <w:color w:val="000000"/>
          <w:sz w:val="24"/>
          <w:lang w:val="en-SG"/>
        </w:rPr>
      </w:pPr>
    </w:p>
    <w:p w14:paraId="67BD96A8" w14:textId="77777777" w:rsidR="00FE7FF1" w:rsidRDefault="00691323" w:rsidP="001F334E">
      <w:pPr>
        <w:numPr>
          <w:ilvl w:val="0"/>
          <w:numId w:val="5"/>
        </w:numPr>
        <w:jc w:val="both"/>
        <w:textAlignment w:val="baseline"/>
        <w:rPr>
          <w:b/>
          <w:color w:val="000000"/>
          <w:sz w:val="24"/>
          <w:lang w:val="en-SG"/>
        </w:rPr>
      </w:pPr>
      <w:r w:rsidRPr="00AB59B0">
        <w:rPr>
          <w:b/>
          <w:color w:val="000000"/>
          <w:sz w:val="24"/>
          <w:lang w:val="en-SG"/>
        </w:rPr>
        <w:t xml:space="preserve">Do I </w:t>
      </w:r>
      <w:r w:rsidR="008E7B8B" w:rsidRPr="00AB59B0">
        <w:rPr>
          <w:b/>
          <w:color w:val="000000"/>
          <w:sz w:val="24"/>
          <w:lang w:val="en-SG"/>
        </w:rPr>
        <w:t xml:space="preserve">need to get professional advice to appeal to the </w:t>
      </w:r>
      <w:r w:rsidRPr="00AB59B0">
        <w:rPr>
          <w:b/>
          <w:color w:val="000000"/>
          <w:sz w:val="24"/>
          <w:lang w:val="en-SG"/>
        </w:rPr>
        <w:t>Board?</w:t>
      </w:r>
    </w:p>
    <w:p w14:paraId="6F49AB15" w14:textId="77777777" w:rsidR="008E7B8B" w:rsidRPr="00AB59B0" w:rsidRDefault="008E7B8B" w:rsidP="008E7B8B">
      <w:pPr>
        <w:tabs>
          <w:tab w:val="left" w:pos="720"/>
        </w:tabs>
        <w:jc w:val="both"/>
        <w:textAlignment w:val="baseline"/>
        <w:rPr>
          <w:b/>
          <w:color w:val="000000"/>
          <w:sz w:val="24"/>
          <w:lang w:val="en-SG"/>
        </w:rPr>
      </w:pPr>
    </w:p>
    <w:p w14:paraId="78352EB9" w14:textId="47BF5677" w:rsidR="00FE7FF1" w:rsidRDefault="00691323" w:rsidP="00FA359C">
      <w:pPr>
        <w:tabs>
          <w:tab w:val="left" w:pos="709"/>
        </w:tabs>
        <w:ind w:left="709" w:hanging="709"/>
        <w:jc w:val="both"/>
        <w:textAlignment w:val="baseline"/>
        <w:rPr>
          <w:color w:val="000000"/>
          <w:sz w:val="24"/>
          <w:lang w:val="en-SG"/>
        </w:rPr>
      </w:pPr>
      <w:r w:rsidRPr="00AB59B0">
        <w:rPr>
          <w:color w:val="000000"/>
          <w:sz w:val="24"/>
          <w:lang w:val="en-SG"/>
        </w:rPr>
        <w:t>6.1.</w:t>
      </w:r>
      <w:r w:rsidRPr="00AB59B0">
        <w:rPr>
          <w:color w:val="000000"/>
          <w:sz w:val="24"/>
          <w:lang w:val="en-SG"/>
        </w:rPr>
        <w:tab/>
        <w:t xml:space="preserve">Even though there is no requirement for the appellant to seek professional advice, some seek professional advice before appealing to the Board as the issues in contention could involve interpretation of the law based on principles established by local and foreign courts. The Board’s decision on the assessment </w:t>
      </w:r>
      <w:r w:rsidR="00FA359C">
        <w:rPr>
          <w:color w:val="000000"/>
          <w:sz w:val="24"/>
          <w:lang w:val="en-SG"/>
        </w:rPr>
        <w:t>is</w:t>
      </w:r>
      <w:r w:rsidRPr="00AB59B0">
        <w:rPr>
          <w:color w:val="000000"/>
          <w:sz w:val="24"/>
          <w:lang w:val="en-SG"/>
        </w:rPr>
        <w:t xml:space="preserve"> final and you </w:t>
      </w:r>
      <w:r w:rsidR="00FA359C">
        <w:rPr>
          <w:color w:val="000000"/>
          <w:sz w:val="24"/>
          <w:lang w:val="en-SG"/>
        </w:rPr>
        <w:t>can</w:t>
      </w:r>
      <w:r w:rsidRPr="00AB59B0">
        <w:rPr>
          <w:color w:val="000000"/>
          <w:sz w:val="24"/>
          <w:lang w:val="en-SG"/>
        </w:rPr>
        <w:t>not appeal against the Board’s decision unless there is any question of law or of mixed law and fac</w:t>
      </w:r>
      <w:r w:rsidR="004F7BFE">
        <w:rPr>
          <w:color w:val="000000"/>
          <w:sz w:val="24"/>
          <w:lang w:val="en-SG"/>
        </w:rPr>
        <w:t>t</w:t>
      </w:r>
      <w:r w:rsidR="00D55F3D">
        <w:rPr>
          <w:color w:val="000000"/>
          <w:sz w:val="24"/>
          <w:lang w:val="en-SG"/>
        </w:rPr>
        <w:t xml:space="preserve"> and the tax payable or amount due to you is more than $500</w:t>
      </w:r>
      <w:r w:rsidR="004F7BFE">
        <w:rPr>
          <w:rStyle w:val="FootnoteReference"/>
          <w:color w:val="000000"/>
          <w:sz w:val="24"/>
          <w:lang w:val="en-SG"/>
        </w:rPr>
        <w:footnoteReference w:id="7"/>
      </w:r>
      <w:r w:rsidRPr="00AB59B0">
        <w:rPr>
          <w:color w:val="000000"/>
          <w:sz w:val="24"/>
          <w:lang w:val="en-SG"/>
        </w:rPr>
        <w:t xml:space="preserve">. It is up to </w:t>
      </w:r>
      <w:r w:rsidR="00FA359C">
        <w:rPr>
          <w:color w:val="000000"/>
          <w:sz w:val="24"/>
          <w:lang w:val="en-SG"/>
        </w:rPr>
        <w:t xml:space="preserve">you </w:t>
      </w:r>
      <w:r w:rsidRPr="00AB59B0">
        <w:rPr>
          <w:color w:val="000000"/>
          <w:sz w:val="24"/>
          <w:lang w:val="en-SG"/>
        </w:rPr>
        <w:t xml:space="preserve">to decide whether </w:t>
      </w:r>
      <w:r w:rsidR="00FA359C">
        <w:rPr>
          <w:color w:val="000000"/>
          <w:sz w:val="24"/>
          <w:lang w:val="en-SG"/>
        </w:rPr>
        <w:t>you</w:t>
      </w:r>
      <w:r w:rsidR="00FA359C" w:rsidRPr="00AB59B0">
        <w:rPr>
          <w:color w:val="000000"/>
          <w:sz w:val="24"/>
          <w:lang w:val="en-SG"/>
        </w:rPr>
        <w:t xml:space="preserve"> </w:t>
      </w:r>
      <w:r w:rsidRPr="00AB59B0">
        <w:rPr>
          <w:color w:val="000000"/>
          <w:sz w:val="24"/>
          <w:lang w:val="en-SG"/>
        </w:rPr>
        <w:t>wish to seek professional advice.</w:t>
      </w:r>
    </w:p>
    <w:p w14:paraId="2B4E7734" w14:textId="77777777" w:rsidR="00256FD8" w:rsidRPr="00AB59B0" w:rsidRDefault="00256FD8" w:rsidP="00256FD8">
      <w:pPr>
        <w:tabs>
          <w:tab w:val="left" w:pos="864"/>
        </w:tabs>
        <w:jc w:val="both"/>
        <w:textAlignment w:val="baseline"/>
        <w:rPr>
          <w:color w:val="000000"/>
          <w:sz w:val="24"/>
          <w:lang w:val="en-SG"/>
        </w:rPr>
      </w:pPr>
    </w:p>
    <w:p w14:paraId="7C3FD370" w14:textId="77777777" w:rsidR="00FE7FF1" w:rsidRDefault="00691323" w:rsidP="001F334E">
      <w:pPr>
        <w:numPr>
          <w:ilvl w:val="0"/>
          <w:numId w:val="5"/>
        </w:numPr>
        <w:jc w:val="both"/>
        <w:textAlignment w:val="baseline"/>
        <w:rPr>
          <w:b/>
          <w:color w:val="000000"/>
          <w:sz w:val="24"/>
          <w:lang w:val="en-SG"/>
        </w:rPr>
      </w:pPr>
      <w:r w:rsidRPr="00AB59B0">
        <w:rPr>
          <w:b/>
          <w:color w:val="000000"/>
          <w:sz w:val="24"/>
          <w:lang w:val="en-SG"/>
        </w:rPr>
        <w:t xml:space="preserve">What </w:t>
      </w:r>
      <w:r w:rsidR="00FA359C" w:rsidRPr="00AB59B0">
        <w:rPr>
          <w:b/>
          <w:color w:val="000000"/>
          <w:sz w:val="24"/>
          <w:lang w:val="en-SG"/>
        </w:rPr>
        <w:t xml:space="preserve">are the procedures for appealing to </w:t>
      </w:r>
      <w:r w:rsidRPr="00AB59B0">
        <w:rPr>
          <w:b/>
          <w:color w:val="000000"/>
          <w:sz w:val="24"/>
          <w:lang w:val="en-SG"/>
        </w:rPr>
        <w:t>the Board?</w:t>
      </w:r>
    </w:p>
    <w:p w14:paraId="379F6FD1" w14:textId="77777777" w:rsidR="008E7B8B" w:rsidRPr="00AB59B0" w:rsidRDefault="008E7B8B" w:rsidP="008E7B8B">
      <w:pPr>
        <w:tabs>
          <w:tab w:val="left" w:pos="720"/>
        </w:tabs>
        <w:jc w:val="both"/>
        <w:textAlignment w:val="baseline"/>
        <w:rPr>
          <w:b/>
          <w:color w:val="000000"/>
          <w:sz w:val="24"/>
          <w:lang w:val="en-SG"/>
        </w:rPr>
      </w:pPr>
    </w:p>
    <w:p w14:paraId="7A916FC7" w14:textId="1264EB59" w:rsidR="00FE7FF1" w:rsidRDefault="00691323" w:rsidP="00FA359C">
      <w:pPr>
        <w:pStyle w:val="ListParagraph"/>
        <w:numPr>
          <w:ilvl w:val="1"/>
          <w:numId w:val="12"/>
        </w:numPr>
        <w:jc w:val="both"/>
        <w:textAlignment w:val="baseline"/>
        <w:rPr>
          <w:color w:val="000000"/>
          <w:sz w:val="24"/>
          <w:lang w:val="en-SG"/>
        </w:rPr>
      </w:pPr>
      <w:r w:rsidRPr="00FA359C">
        <w:rPr>
          <w:color w:val="000000"/>
          <w:sz w:val="24"/>
          <w:lang w:val="en-SG"/>
        </w:rPr>
        <w:t>Should you choose to appeal to the Board, you are required to submit the following document</w:t>
      </w:r>
      <w:r w:rsidR="004F7BFE" w:rsidRPr="00FA359C">
        <w:rPr>
          <w:color w:val="000000"/>
          <w:sz w:val="24"/>
          <w:lang w:val="en-SG"/>
        </w:rPr>
        <w:t>s</w:t>
      </w:r>
      <w:r w:rsidR="004F7BFE">
        <w:rPr>
          <w:rStyle w:val="FootnoteReference"/>
          <w:color w:val="000000"/>
          <w:sz w:val="24"/>
          <w:lang w:val="en-SG"/>
        </w:rPr>
        <w:footnoteReference w:id="8"/>
      </w:r>
      <w:r w:rsidRPr="00FA359C">
        <w:rPr>
          <w:color w:val="000000"/>
          <w:sz w:val="24"/>
          <w:lang w:val="en-SG"/>
        </w:rPr>
        <w:t>:</w:t>
      </w:r>
    </w:p>
    <w:p w14:paraId="387A10BE" w14:textId="77777777" w:rsidR="00FA359C" w:rsidRDefault="00FA359C" w:rsidP="00FA359C">
      <w:pPr>
        <w:pStyle w:val="ListParagraph"/>
        <w:ind w:left="705"/>
        <w:jc w:val="both"/>
        <w:textAlignment w:val="baseline"/>
        <w:rPr>
          <w:color w:val="000000"/>
          <w:sz w:val="24"/>
          <w:lang w:val="en-SG"/>
        </w:rPr>
      </w:pPr>
    </w:p>
    <w:p w14:paraId="3DE10EC8" w14:textId="7679D97D" w:rsidR="00FA359C" w:rsidRPr="00AB59B0" w:rsidRDefault="00FA359C" w:rsidP="00FA359C">
      <w:pPr>
        <w:numPr>
          <w:ilvl w:val="0"/>
          <w:numId w:val="6"/>
        </w:numPr>
        <w:tabs>
          <w:tab w:val="clear" w:pos="432"/>
          <w:tab w:val="left" w:pos="1152"/>
        </w:tabs>
        <w:ind w:left="1152" w:hanging="432"/>
        <w:jc w:val="both"/>
        <w:textAlignment w:val="baseline"/>
        <w:rPr>
          <w:color w:val="000000"/>
          <w:sz w:val="24"/>
          <w:u w:val="single"/>
          <w:lang w:val="en-SG"/>
        </w:rPr>
      </w:pPr>
      <w:r w:rsidRPr="00AB59B0">
        <w:rPr>
          <w:color w:val="000000"/>
          <w:sz w:val="24"/>
          <w:u w:val="single"/>
          <w:lang w:val="en-SG"/>
        </w:rPr>
        <w:t xml:space="preserve">Within 30 days </w:t>
      </w:r>
      <w:r w:rsidRPr="00BF2B37">
        <w:rPr>
          <w:rFonts w:eastAsia="Times New Roman"/>
          <w:color w:val="000000"/>
          <w:sz w:val="24"/>
          <w:u w:val="single"/>
          <w:lang w:val="en-SG"/>
        </w:rPr>
        <w:t>after</w:t>
      </w:r>
      <w:r w:rsidRPr="00AB59B0">
        <w:rPr>
          <w:color w:val="000000"/>
          <w:sz w:val="24"/>
          <w:u w:val="single"/>
          <w:lang w:val="en-SG"/>
        </w:rPr>
        <w:t xml:space="preserve"> the date of the Notice of Comptroller’s Decision issued by the CGST,</w:t>
      </w:r>
      <w:r w:rsidRPr="00AB59B0">
        <w:rPr>
          <w:color w:val="000000"/>
          <w:sz w:val="24"/>
          <w:lang w:val="en-SG"/>
        </w:rPr>
        <w:t xml:space="preserve"> </w:t>
      </w:r>
      <w:r w:rsidR="008A4F3B">
        <w:rPr>
          <w:color w:val="000000"/>
          <w:sz w:val="24"/>
          <w:lang w:val="en-SG"/>
        </w:rPr>
        <w:t xml:space="preserve">file </w:t>
      </w:r>
      <w:r w:rsidRPr="00AB59B0">
        <w:rPr>
          <w:color w:val="000000"/>
          <w:sz w:val="24"/>
          <w:lang w:val="en-SG"/>
        </w:rPr>
        <w:t>a Notice of Appeal</w:t>
      </w:r>
      <w:r w:rsidR="008A4F3B">
        <w:rPr>
          <w:color w:val="000000"/>
          <w:sz w:val="24"/>
          <w:lang w:val="en-SG"/>
        </w:rPr>
        <w:t xml:space="preserve"> via </w:t>
      </w:r>
      <w:proofErr w:type="spellStart"/>
      <w:r w:rsidR="008A4F3B">
        <w:rPr>
          <w:color w:val="000000"/>
          <w:sz w:val="24"/>
          <w:lang w:val="en-SG"/>
        </w:rPr>
        <w:t>FormSG</w:t>
      </w:r>
      <w:proofErr w:type="spellEnd"/>
      <w:r w:rsidRPr="00AB59B0">
        <w:rPr>
          <w:color w:val="000000"/>
          <w:sz w:val="24"/>
          <w:lang w:val="en-SG"/>
        </w:rPr>
        <w:t>; and</w:t>
      </w:r>
    </w:p>
    <w:p w14:paraId="7E00EC9D" w14:textId="77777777" w:rsidR="00FA359C" w:rsidRPr="00FA359C" w:rsidRDefault="00FA359C" w:rsidP="00FA359C">
      <w:pPr>
        <w:numPr>
          <w:ilvl w:val="0"/>
          <w:numId w:val="6"/>
        </w:numPr>
        <w:tabs>
          <w:tab w:val="clear" w:pos="432"/>
          <w:tab w:val="left" w:pos="1152"/>
        </w:tabs>
        <w:ind w:left="1152" w:hanging="432"/>
        <w:jc w:val="both"/>
        <w:textAlignment w:val="baseline"/>
        <w:rPr>
          <w:color w:val="000000"/>
          <w:spacing w:val="-1"/>
          <w:sz w:val="24"/>
          <w:u w:val="single"/>
          <w:lang w:val="en-SG"/>
        </w:rPr>
      </w:pPr>
      <w:r w:rsidRPr="00AB59B0">
        <w:rPr>
          <w:color w:val="000000"/>
          <w:spacing w:val="-1"/>
          <w:sz w:val="24"/>
          <w:u w:val="single"/>
          <w:lang w:val="en-SG"/>
        </w:rPr>
        <w:t xml:space="preserve">Within 30 days </w:t>
      </w:r>
      <w:r w:rsidRPr="00BF2B37">
        <w:rPr>
          <w:rFonts w:eastAsia="Times New Roman"/>
          <w:color w:val="000000"/>
          <w:spacing w:val="-1"/>
          <w:sz w:val="24"/>
          <w:u w:val="single"/>
          <w:lang w:val="en-SG"/>
        </w:rPr>
        <w:t>after</w:t>
      </w:r>
      <w:r w:rsidRPr="00AB59B0">
        <w:rPr>
          <w:color w:val="000000"/>
          <w:spacing w:val="-1"/>
          <w:sz w:val="24"/>
          <w:u w:val="single"/>
          <w:lang w:val="en-SG"/>
        </w:rPr>
        <w:t xml:space="preserve"> the date on which such Notice of Appeal was lodged,</w:t>
      </w:r>
      <w:r w:rsidRPr="00AB59B0">
        <w:rPr>
          <w:color w:val="000000"/>
          <w:spacing w:val="-1"/>
          <w:sz w:val="24"/>
          <w:lang w:val="en-SG"/>
        </w:rPr>
        <w:t xml:space="preserve"> a Petition of Appeal containing a statement of the grounds of appeal</w:t>
      </w:r>
      <w:r w:rsidRPr="00BF2B37">
        <w:rPr>
          <w:rFonts w:eastAsia="Times New Roman"/>
          <w:color w:val="000000"/>
          <w:spacing w:val="-1"/>
          <w:sz w:val="24"/>
          <w:lang w:val="en-SG"/>
        </w:rPr>
        <w:t xml:space="preserve"> by email to </w:t>
      </w:r>
      <w:hyperlink r:id="rId8" w:history="1">
        <w:r w:rsidRPr="00703FF4">
          <w:rPr>
            <w:rStyle w:val="Hyperlink"/>
            <w:rFonts w:eastAsia="Times New Roman"/>
            <w:spacing w:val="-1"/>
            <w:sz w:val="24"/>
            <w:lang w:val="en-SG"/>
          </w:rPr>
          <w:t>gstbr@mof.gov.sg</w:t>
        </w:r>
      </w:hyperlink>
      <w:r w:rsidRPr="00AB59B0">
        <w:rPr>
          <w:color w:val="000000"/>
          <w:spacing w:val="-1"/>
          <w:sz w:val="24"/>
          <w:lang w:val="en-SG"/>
        </w:rPr>
        <w:t>.</w:t>
      </w:r>
      <w:r>
        <w:rPr>
          <w:color w:val="000000"/>
          <w:spacing w:val="-1"/>
          <w:sz w:val="24"/>
          <w:lang w:val="en-SG"/>
        </w:rPr>
        <w:t xml:space="preserve"> </w:t>
      </w:r>
    </w:p>
    <w:p w14:paraId="04823AB3" w14:textId="77777777" w:rsidR="00FA359C" w:rsidRDefault="00FA359C" w:rsidP="00FA359C">
      <w:pPr>
        <w:pStyle w:val="ListParagraph"/>
        <w:ind w:left="705"/>
        <w:jc w:val="both"/>
        <w:textAlignment w:val="baseline"/>
        <w:rPr>
          <w:color w:val="000000"/>
          <w:sz w:val="24"/>
          <w:lang w:val="en-SG"/>
        </w:rPr>
      </w:pPr>
    </w:p>
    <w:p w14:paraId="13129BA7" w14:textId="4EB17153" w:rsidR="00FA359C" w:rsidRPr="00FA359C" w:rsidRDefault="00FA359C" w:rsidP="00FA359C">
      <w:pPr>
        <w:pStyle w:val="ListParagraph"/>
        <w:numPr>
          <w:ilvl w:val="1"/>
          <w:numId w:val="12"/>
        </w:numPr>
        <w:jc w:val="both"/>
        <w:textAlignment w:val="baseline"/>
        <w:rPr>
          <w:color w:val="000000"/>
          <w:sz w:val="24"/>
          <w:lang w:val="en-SG"/>
        </w:rPr>
      </w:pPr>
      <w:r w:rsidRPr="00FA359C">
        <w:rPr>
          <w:color w:val="000000"/>
          <w:sz w:val="24"/>
          <w:lang w:val="en-SG"/>
        </w:rPr>
        <w:t xml:space="preserve">If you have any difficulty filing a notice of appeal </w:t>
      </w:r>
      <w:r w:rsidR="008A4F3B">
        <w:rPr>
          <w:color w:val="000000"/>
          <w:sz w:val="24"/>
          <w:lang w:val="en-SG"/>
        </w:rPr>
        <w:t xml:space="preserve">via </w:t>
      </w:r>
      <w:proofErr w:type="spellStart"/>
      <w:r w:rsidR="008A4F3B">
        <w:rPr>
          <w:color w:val="000000"/>
          <w:sz w:val="24"/>
          <w:lang w:val="en-SG"/>
        </w:rPr>
        <w:t>FormSG</w:t>
      </w:r>
      <w:proofErr w:type="spellEnd"/>
      <w:r w:rsidR="008A4F3B">
        <w:rPr>
          <w:color w:val="000000"/>
          <w:sz w:val="24"/>
          <w:lang w:val="en-SG"/>
        </w:rPr>
        <w:t xml:space="preserve"> </w:t>
      </w:r>
      <w:r w:rsidRPr="00FA359C">
        <w:rPr>
          <w:color w:val="000000"/>
          <w:sz w:val="24"/>
          <w:lang w:val="en-SG"/>
        </w:rPr>
        <w:t xml:space="preserve">or a petition of appeal by email, </w:t>
      </w:r>
      <w:r w:rsidR="00D25EE5">
        <w:rPr>
          <w:color w:val="000000"/>
          <w:sz w:val="24"/>
          <w:lang w:val="en-SG"/>
        </w:rPr>
        <w:t xml:space="preserve">please contact the Secretary at </w:t>
      </w:r>
      <w:hyperlink r:id="rId9" w:history="1">
        <w:r w:rsidR="00D25EE5" w:rsidRPr="00430F89">
          <w:rPr>
            <w:rStyle w:val="Hyperlink"/>
            <w:sz w:val="24"/>
            <w:lang w:val="en-SG"/>
          </w:rPr>
          <w:t>gstbr@mof.gov.sg</w:t>
        </w:r>
      </w:hyperlink>
      <w:r w:rsidR="00D25EE5">
        <w:rPr>
          <w:color w:val="000000"/>
          <w:sz w:val="24"/>
          <w:lang w:val="en-SG"/>
        </w:rPr>
        <w:t xml:space="preserve"> with </w:t>
      </w:r>
      <w:r w:rsidRPr="00FA359C">
        <w:rPr>
          <w:color w:val="000000"/>
          <w:sz w:val="24"/>
          <w:lang w:val="en-SG"/>
        </w:rPr>
        <w:t xml:space="preserve">reasons why you are unable to file the </w:t>
      </w:r>
      <w:r w:rsidR="00D25EE5">
        <w:rPr>
          <w:color w:val="000000"/>
          <w:sz w:val="24"/>
          <w:lang w:val="en-SG"/>
        </w:rPr>
        <w:t xml:space="preserve">notice of appeal </w:t>
      </w:r>
      <w:r w:rsidR="00A817B0">
        <w:rPr>
          <w:color w:val="000000"/>
          <w:sz w:val="24"/>
          <w:lang w:val="en-SG"/>
        </w:rPr>
        <w:t xml:space="preserve">by </w:t>
      </w:r>
      <w:proofErr w:type="spellStart"/>
      <w:r w:rsidR="00A817B0">
        <w:rPr>
          <w:color w:val="000000"/>
          <w:sz w:val="24"/>
          <w:lang w:val="en-SG"/>
        </w:rPr>
        <w:t>FormSG</w:t>
      </w:r>
      <w:proofErr w:type="spellEnd"/>
      <w:r w:rsidR="00A817B0">
        <w:rPr>
          <w:color w:val="000000"/>
          <w:sz w:val="24"/>
          <w:lang w:val="en-SG"/>
        </w:rPr>
        <w:t xml:space="preserve"> </w:t>
      </w:r>
      <w:r w:rsidR="007C56CA">
        <w:rPr>
          <w:color w:val="000000"/>
          <w:sz w:val="24"/>
          <w:lang w:val="en-SG"/>
        </w:rPr>
        <w:t>(</w:t>
      </w:r>
      <w:r w:rsidR="00A817B0">
        <w:rPr>
          <w:color w:val="000000"/>
          <w:sz w:val="24"/>
          <w:lang w:val="en-SG"/>
        </w:rPr>
        <w:t xml:space="preserve">or </w:t>
      </w:r>
      <w:r w:rsidRPr="00FA359C">
        <w:rPr>
          <w:color w:val="000000"/>
          <w:sz w:val="24"/>
          <w:lang w:val="en-SG"/>
        </w:rPr>
        <w:t>email</w:t>
      </w:r>
      <w:r w:rsidR="00D25EE5">
        <w:rPr>
          <w:color w:val="000000"/>
          <w:sz w:val="24"/>
          <w:lang w:val="en-SG"/>
        </w:rPr>
        <w:t>, in the case of a petition of appeal</w:t>
      </w:r>
      <w:r w:rsidR="007C56CA">
        <w:rPr>
          <w:color w:val="000000"/>
          <w:sz w:val="24"/>
          <w:lang w:val="en-SG"/>
        </w:rPr>
        <w:t>)</w:t>
      </w:r>
      <w:r w:rsidR="00D25EE5">
        <w:rPr>
          <w:color w:val="000000"/>
          <w:sz w:val="24"/>
          <w:lang w:val="en-SG"/>
        </w:rPr>
        <w:t xml:space="preserve">. </w:t>
      </w:r>
      <w:r w:rsidR="00253599">
        <w:rPr>
          <w:color w:val="000000"/>
          <w:sz w:val="24"/>
          <w:lang w:val="en-SG"/>
        </w:rPr>
        <w:t>Hardcopy correspondence is to be sent to this address</w:t>
      </w:r>
      <w:r w:rsidRPr="00FA359C">
        <w:rPr>
          <w:color w:val="000000"/>
          <w:sz w:val="24"/>
          <w:lang w:val="en-SG"/>
        </w:rPr>
        <w:t>:</w:t>
      </w:r>
    </w:p>
    <w:p w14:paraId="4BEA191A" w14:textId="77777777" w:rsidR="008E7B8B" w:rsidRDefault="008E7B8B" w:rsidP="00FA359C">
      <w:pPr>
        <w:jc w:val="both"/>
        <w:textAlignment w:val="baseline"/>
        <w:rPr>
          <w:b/>
          <w:color w:val="000000"/>
          <w:sz w:val="24"/>
          <w:lang w:val="en-SG"/>
        </w:rPr>
      </w:pPr>
    </w:p>
    <w:p w14:paraId="6ED1E690" w14:textId="77777777" w:rsidR="008E7B8B" w:rsidRDefault="00691323" w:rsidP="008E7B8B">
      <w:pPr>
        <w:ind w:left="720"/>
        <w:jc w:val="center"/>
        <w:textAlignment w:val="baseline"/>
        <w:rPr>
          <w:b/>
          <w:color w:val="000000"/>
          <w:sz w:val="24"/>
          <w:lang w:val="en-SG"/>
        </w:rPr>
      </w:pPr>
      <w:r w:rsidRPr="00AB59B0">
        <w:rPr>
          <w:b/>
          <w:color w:val="000000"/>
          <w:sz w:val="24"/>
          <w:lang w:val="en-SG"/>
        </w:rPr>
        <w:t>Secretary</w:t>
      </w:r>
    </w:p>
    <w:p w14:paraId="2CE20CAA" w14:textId="08554EAE" w:rsidR="008E7B8B" w:rsidRPr="00AB59B0" w:rsidRDefault="00691323" w:rsidP="00023416">
      <w:pPr>
        <w:ind w:left="720"/>
        <w:jc w:val="center"/>
        <w:textAlignment w:val="baseline"/>
        <w:rPr>
          <w:b/>
          <w:color w:val="000000"/>
          <w:sz w:val="24"/>
          <w:lang w:val="en-SG"/>
        </w:rPr>
      </w:pPr>
      <w:r w:rsidRPr="00AB59B0">
        <w:rPr>
          <w:b/>
          <w:color w:val="000000"/>
          <w:sz w:val="24"/>
          <w:lang w:val="en-SG"/>
        </w:rPr>
        <w:t xml:space="preserve">GST Board of Review </w:t>
      </w:r>
      <w:r w:rsidRPr="00AB59B0">
        <w:rPr>
          <w:b/>
          <w:color w:val="000000"/>
          <w:sz w:val="24"/>
          <w:lang w:val="en-SG"/>
        </w:rPr>
        <w:br/>
        <w:t xml:space="preserve">100 High Street </w:t>
      </w:r>
      <w:r w:rsidRPr="00AB59B0">
        <w:rPr>
          <w:b/>
          <w:color w:val="000000"/>
          <w:sz w:val="24"/>
          <w:lang w:val="en-SG"/>
        </w:rPr>
        <w:br/>
        <w:t xml:space="preserve">#10-01 The Treasury </w:t>
      </w:r>
      <w:r w:rsidRPr="00AB59B0">
        <w:rPr>
          <w:b/>
          <w:color w:val="000000"/>
          <w:sz w:val="24"/>
          <w:lang w:val="en-SG"/>
        </w:rPr>
        <w:br/>
        <w:t xml:space="preserve">Singapore 179434 </w:t>
      </w:r>
      <w:r w:rsidRPr="00AB59B0">
        <w:rPr>
          <w:b/>
          <w:color w:val="000000"/>
          <w:sz w:val="24"/>
          <w:lang w:val="en-SG"/>
        </w:rPr>
        <w:br/>
      </w:r>
    </w:p>
    <w:p w14:paraId="770C9A3D" w14:textId="7A8FE368" w:rsidR="00FE7FF1" w:rsidRDefault="00691323" w:rsidP="00FA359C">
      <w:pPr>
        <w:pStyle w:val="ListParagraph"/>
        <w:numPr>
          <w:ilvl w:val="1"/>
          <w:numId w:val="12"/>
        </w:numPr>
        <w:jc w:val="both"/>
        <w:textAlignment w:val="baseline"/>
        <w:rPr>
          <w:color w:val="000000"/>
          <w:sz w:val="24"/>
          <w:lang w:val="en-SG"/>
        </w:rPr>
      </w:pPr>
      <w:r w:rsidRPr="00FA359C">
        <w:rPr>
          <w:color w:val="000000"/>
          <w:sz w:val="24"/>
          <w:lang w:val="en-SG"/>
        </w:rPr>
        <w:t xml:space="preserve">If </w:t>
      </w:r>
      <w:r w:rsidR="00DB1C69">
        <w:rPr>
          <w:color w:val="000000"/>
          <w:sz w:val="24"/>
          <w:lang w:val="en-SG"/>
        </w:rPr>
        <w:t>the appellant is</w:t>
      </w:r>
      <w:r w:rsidRPr="00FA359C">
        <w:rPr>
          <w:color w:val="000000"/>
          <w:sz w:val="24"/>
          <w:lang w:val="en-SG"/>
        </w:rPr>
        <w:t xml:space="preserve"> unable to file the Notice of Appeal or Petition of Appeal within the stipulated time, </w:t>
      </w:r>
      <w:r w:rsidR="00DB1C69">
        <w:rPr>
          <w:rFonts w:eastAsia="Times New Roman"/>
          <w:color w:val="000000"/>
          <w:sz w:val="24"/>
          <w:lang w:val="en-SG"/>
        </w:rPr>
        <w:t xml:space="preserve">the person </w:t>
      </w:r>
      <w:proofErr w:type="gramStart"/>
      <w:r w:rsidR="00DB1C69">
        <w:rPr>
          <w:rFonts w:eastAsia="Times New Roman"/>
          <w:color w:val="000000"/>
          <w:sz w:val="24"/>
          <w:lang w:val="en-SG"/>
        </w:rPr>
        <w:t>has</w:t>
      </w:r>
      <w:r w:rsidRPr="00FA359C">
        <w:rPr>
          <w:color w:val="000000"/>
          <w:sz w:val="24"/>
          <w:lang w:val="en-SG"/>
        </w:rPr>
        <w:t xml:space="preserve"> to</w:t>
      </w:r>
      <w:proofErr w:type="gramEnd"/>
      <w:r w:rsidRPr="00FA359C">
        <w:rPr>
          <w:color w:val="000000"/>
          <w:sz w:val="24"/>
          <w:lang w:val="en-SG"/>
        </w:rPr>
        <w:t xml:space="preserve"> seek the </w:t>
      </w:r>
      <w:r w:rsidRPr="00FA359C">
        <w:rPr>
          <w:rFonts w:eastAsia="Times New Roman"/>
          <w:color w:val="000000"/>
          <w:sz w:val="24"/>
          <w:lang w:val="en-SG"/>
        </w:rPr>
        <w:t>Chair</w:t>
      </w:r>
      <w:r w:rsidR="00EA22C9" w:rsidRPr="00FA359C">
        <w:rPr>
          <w:rFonts w:eastAsia="Times New Roman"/>
          <w:color w:val="000000"/>
          <w:sz w:val="24"/>
          <w:lang w:val="en-SG"/>
        </w:rPr>
        <w:t>person</w:t>
      </w:r>
      <w:r w:rsidRPr="00FA359C">
        <w:rPr>
          <w:rFonts w:eastAsia="Times New Roman"/>
          <w:color w:val="000000"/>
          <w:sz w:val="24"/>
          <w:lang w:val="en-SG"/>
        </w:rPr>
        <w:t>’s</w:t>
      </w:r>
      <w:r w:rsidRPr="00FA359C">
        <w:rPr>
          <w:color w:val="000000"/>
          <w:sz w:val="24"/>
          <w:lang w:val="en-SG"/>
        </w:rPr>
        <w:t xml:space="preserve"> approval for </w:t>
      </w:r>
      <w:r w:rsidR="00DB1C69">
        <w:rPr>
          <w:color w:val="000000"/>
          <w:sz w:val="24"/>
          <w:lang w:val="en-SG"/>
        </w:rPr>
        <w:t>his</w:t>
      </w:r>
      <w:r w:rsidR="00DB1C69" w:rsidRPr="00FA359C">
        <w:rPr>
          <w:color w:val="000000"/>
          <w:sz w:val="24"/>
          <w:lang w:val="en-SG"/>
        </w:rPr>
        <w:t xml:space="preserve"> </w:t>
      </w:r>
      <w:r w:rsidRPr="00FA359C">
        <w:rPr>
          <w:color w:val="000000"/>
          <w:sz w:val="24"/>
          <w:lang w:val="en-SG"/>
        </w:rPr>
        <w:t>appeal to be heard</w:t>
      </w:r>
      <w:r w:rsidR="00FA359C">
        <w:rPr>
          <w:rStyle w:val="FootnoteReference"/>
          <w:color w:val="000000"/>
          <w:sz w:val="24"/>
          <w:lang w:val="en-SG"/>
        </w:rPr>
        <w:footnoteReference w:id="9"/>
      </w:r>
      <w:r w:rsidRPr="00FA359C">
        <w:rPr>
          <w:color w:val="000000"/>
          <w:sz w:val="24"/>
          <w:lang w:val="en-SG"/>
        </w:rPr>
        <w:t>.</w:t>
      </w:r>
    </w:p>
    <w:p w14:paraId="3986171D" w14:textId="77777777" w:rsidR="00145829" w:rsidRDefault="00145829" w:rsidP="00145829">
      <w:pPr>
        <w:pStyle w:val="ListParagraph"/>
        <w:ind w:left="705"/>
        <w:jc w:val="both"/>
        <w:textAlignment w:val="baseline"/>
        <w:rPr>
          <w:color w:val="000000"/>
          <w:sz w:val="24"/>
          <w:lang w:val="en-SG"/>
        </w:rPr>
      </w:pPr>
    </w:p>
    <w:p w14:paraId="68317E3D" w14:textId="7D13FFCB" w:rsidR="00145829" w:rsidRDefault="00145829" w:rsidP="00B61804">
      <w:pPr>
        <w:pStyle w:val="ListParagraph"/>
        <w:numPr>
          <w:ilvl w:val="1"/>
          <w:numId w:val="12"/>
        </w:numPr>
        <w:jc w:val="both"/>
        <w:rPr>
          <w:color w:val="000000"/>
          <w:sz w:val="24"/>
          <w:szCs w:val="24"/>
          <w:lang w:val="en-SG"/>
        </w:rPr>
      </w:pPr>
      <w:r w:rsidRPr="00145829">
        <w:rPr>
          <w:color w:val="000000"/>
          <w:sz w:val="24"/>
          <w:lang w:val="en-SG"/>
        </w:rPr>
        <w:t xml:space="preserve">At the time of filing the Notice of Appeal, </w:t>
      </w:r>
      <w:r w:rsidR="00A77089">
        <w:rPr>
          <w:color w:val="000000"/>
          <w:sz w:val="24"/>
          <w:lang w:val="en-SG"/>
        </w:rPr>
        <w:t>the appellant</w:t>
      </w:r>
      <w:r w:rsidRPr="00145829">
        <w:rPr>
          <w:color w:val="000000"/>
          <w:sz w:val="24"/>
          <w:lang w:val="en-SG"/>
        </w:rPr>
        <w:t xml:space="preserve"> must indicate objections (if any), with supporting reasons, to any member of the Board hearing the appeal. The CGST can also indicate </w:t>
      </w:r>
      <w:r w:rsidRPr="00145829">
        <w:rPr>
          <w:color w:val="000000"/>
          <w:sz w:val="24"/>
          <w:szCs w:val="24"/>
          <w:lang w:val="en-SG"/>
        </w:rPr>
        <w:t>objections (if any), with supporting reasons, to any member of the Board hearing the appeal. After reviewing the list of objections (if any), the Chairperson decides on the Panel which will hear the case. The Panel may be a single-member Panel consisting of either the Chairperson or a Deputy Chairperson, or a 3-member Panel consisting of the Chairperson or a Deputy Chairperson with 2 other members.</w:t>
      </w:r>
    </w:p>
    <w:p w14:paraId="45D4EDD5" w14:textId="77777777" w:rsidR="007D5938" w:rsidRPr="007D5938" w:rsidRDefault="007D5938" w:rsidP="00B61804">
      <w:pPr>
        <w:pStyle w:val="ListParagraph"/>
        <w:rPr>
          <w:color w:val="000000"/>
          <w:sz w:val="24"/>
          <w:szCs w:val="24"/>
          <w:lang w:val="en-SG"/>
        </w:rPr>
      </w:pPr>
    </w:p>
    <w:p w14:paraId="4DC4C7AC" w14:textId="77777777" w:rsidR="00145829" w:rsidRPr="00145829" w:rsidRDefault="00145829" w:rsidP="00145829">
      <w:pPr>
        <w:jc w:val="both"/>
        <w:rPr>
          <w:color w:val="000000"/>
          <w:sz w:val="24"/>
          <w:szCs w:val="24"/>
          <w:lang w:val="en-SG"/>
        </w:rPr>
      </w:pPr>
    </w:p>
    <w:p w14:paraId="41C06989" w14:textId="77777777" w:rsidR="00502147" w:rsidRPr="00502147" w:rsidRDefault="00AB59B0" w:rsidP="00502147">
      <w:pPr>
        <w:numPr>
          <w:ilvl w:val="0"/>
          <w:numId w:val="12"/>
        </w:numPr>
        <w:tabs>
          <w:tab w:val="left" w:pos="720"/>
        </w:tabs>
        <w:ind w:left="709" w:hanging="709"/>
        <w:jc w:val="both"/>
        <w:textAlignment w:val="baseline"/>
        <w:rPr>
          <w:b/>
          <w:color w:val="000000"/>
          <w:sz w:val="24"/>
          <w:szCs w:val="24"/>
          <w:lang w:val="en-SG"/>
        </w:rPr>
      </w:pPr>
      <w:r w:rsidRPr="00145829">
        <w:rPr>
          <w:b/>
          <w:bCs/>
          <w:sz w:val="24"/>
          <w:szCs w:val="24"/>
        </w:rPr>
        <w:lastRenderedPageBreak/>
        <w:t>Case Management Conference</w:t>
      </w:r>
      <w:r w:rsidR="00DA7873">
        <w:rPr>
          <w:b/>
          <w:bCs/>
          <w:sz w:val="24"/>
          <w:szCs w:val="24"/>
        </w:rPr>
        <w:t>s</w:t>
      </w:r>
    </w:p>
    <w:p w14:paraId="0D9D8BC8" w14:textId="77777777" w:rsidR="00502147" w:rsidRPr="00502147" w:rsidRDefault="00502147" w:rsidP="00502147">
      <w:pPr>
        <w:tabs>
          <w:tab w:val="left" w:pos="720"/>
        </w:tabs>
        <w:ind w:left="709"/>
        <w:jc w:val="both"/>
        <w:textAlignment w:val="baseline"/>
        <w:rPr>
          <w:b/>
          <w:color w:val="000000"/>
          <w:sz w:val="24"/>
          <w:szCs w:val="24"/>
          <w:lang w:val="en-SG"/>
        </w:rPr>
      </w:pPr>
    </w:p>
    <w:p w14:paraId="700842E2" w14:textId="6F6B0C95" w:rsidR="00502147" w:rsidRDefault="00502147" w:rsidP="00502147">
      <w:pPr>
        <w:pStyle w:val="ListParagraph"/>
        <w:numPr>
          <w:ilvl w:val="1"/>
          <w:numId w:val="12"/>
        </w:numPr>
        <w:jc w:val="both"/>
        <w:textAlignment w:val="baseline"/>
        <w:rPr>
          <w:color w:val="000000"/>
          <w:sz w:val="24"/>
          <w:szCs w:val="24"/>
          <w:lang w:val="en-SG"/>
        </w:rPr>
      </w:pPr>
      <w:r w:rsidRPr="00145829">
        <w:rPr>
          <w:color w:val="000000"/>
          <w:sz w:val="24"/>
          <w:szCs w:val="24"/>
          <w:lang w:val="en-SG"/>
        </w:rPr>
        <w:t>On receipt of a petition of appeal</w:t>
      </w:r>
      <w:r w:rsidR="007C56CA">
        <w:rPr>
          <w:color w:val="000000"/>
          <w:sz w:val="24"/>
          <w:szCs w:val="24"/>
          <w:lang w:val="en-SG"/>
        </w:rPr>
        <w:t xml:space="preserve"> (a sample of which is at Annex A</w:t>
      </w:r>
      <w:r w:rsidR="00023416">
        <w:rPr>
          <w:rStyle w:val="FootnoteReference"/>
          <w:color w:val="000000"/>
          <w:sz w:val="24"/>
          <w:szCs w:val="24"/>
          <w:lang w:val="en-SG"/>
        </w:rPr>
        <w:footnoteReference w:id="10"/>
      </w:r>
      <w:r w:rsidR="007C56CA">
        <w:rPr>
          <w:color w:val="000000"/>
          <w:sz w:val="24"/>
          <w:szCs w:val="24"/>
          <w:lang w:val="en-SG"/>
        </w:rPr>
        <w:t>)</w:t>
      </w:r>
      <w:r w:rsidRPr="00145829">
        <w:rPr>
          <w:color w:val="000000"/>
          <w:sz w:val="24"/>
          <w:szCs w:val="24"/>
          <w:lang w:val="en-SG"/>
        </w:rPr>
        <w:t xml:space="preserve">, the secretary to the Board will forward </w:t>
      </w:r>
      <w:r w:rsidR="00DA4F6A">
        <w:rPr>
          <w:color w:val="000000"/>
          <w:sz w:val="24"/>
          <w:szCs w:val="24"/>
          <w:lang w:val="en-SG"/>
        </w:rPr>
        <w:t>it</w:t>
      </w:r>
      <w:r w:rsidRPr="00145829">
        <w:rPr>
          <w:color w:val="000000"/>
          <w:sz w:val="24"/>
          <w:szCs w:val="24"/>
          <w:lang w:val="en-SG"/>
        </w:rPr>
        <w:t xml:space="preserve"> to the CGST. A CMC will be scheduled</w:t>
      </w:r>
      <w:r w:rsidRPr="00145829">
        <w:rPr>
          <w:rFonts w:eastAsia="Times New Roman"/>
          <w:color w:val="000000"/>
          <w:sz w:val="24"/>
          <w:szCs w:val="24"/>
          <w:lang w:val="en-SG"/>
        </w:rPr>
        <w:t>, if necessary,</w:t>
      </w:r>
      <w:r w:rsidRPr="00145829">
        <w:rPr>
          <w:color w:val="000000"/>
          <w:sz w:val="24"/>
          <w:szCs w:val="24"/>
          <w:lang w:val="en-SG"/>
        </w:rPr>
        <w:t xml:space="preserve"> for you and the CGST to identify the issues in dispute, to negotiate a settlement or, if a settlement is not possible, to proceed with a hearing.</w:t>
      </w:r>
    </w:p>
    <w:p w14:paraId="07FAC008" w14:textId="77777777" w:rsidR="00DA7873" w:rsidRDefault="00DA7873" w:rsidP="00DA7873">
      <w:pPr>
        <w:pStyle w:val="ListParagraph"/>
        <w:ind w:left="705"/>
        <w:jc w:val="both"/>
        <w:textAlignment w:val="baseline"/>
        <w:rPr>
          <w:color w:val="000000"/>
          <w:sz w:val="24"/>
          <w:szCs w:val="24"/>
          <w:lang w:val="en-SG"/>
        </w:rPr>
      </w:pPr>
    </w:p>
    <w:p w14:paraId="39A5A3FC" w14:textId="78CEAAA2" w:rsidR="00DA7873" w:rsidRDefault="00502147" w:rsidP="00DA7873">
      <w:pPr>
        <w:pStyle w:val="ListParagraph"/>
        <w:numPr>
          <w:ilvl w:val="1"/>
          <w:numId w:val="12"/>
        </w:numPr>
        <w:jc w:val="both"/>
        <w:textAlignment w:val="baseline"/>
        <w:rPr>
          <w:color w:val="000000"/>
          <w:sz w:val="24"/>
          <w:szCs w:val="24"/>
          <w:lang w:val="en-SG"/>
        </w:rPr>
      </w:pPr>
      <w:r w:rsidRPr="00DA7873">
        <w:rPr>
          <w:color w:val="000000"/>
          <w:sz w:val="24"/>
          <w:szCs w:val="24"/>
          <w:lang w:val="en-SG"/>
        </w:rPr>
        <w:t>The CMC is usually held 6</w:t>
      </w:r>
      <w:r w:rsidR="007D5938">
        <w:rPr>
          <w:color w:val="000000"/>
          <w:sz w:val="24"/>
          <w:szCs w:val="24"/>
          <w:lang w:val="en-SG"/>
        </w:rPr>
        <w:t xml:space="preserve"> to </w:t>
      </w:r>
      <w:r w:rsidRPr="00DA7873">
        <w:rPr>
          <w:color w:val="000000"/>
          <w:sz w:val="24"/>
          <w:szCs w:val="24"/>
          <w:lang w:val="en-SG"/>
        </w:rPr>
        <w:t>8 weeks from the date the petition of appeal is lodged with the Board.</w:t>
      </w:r>
    </w:p>
    <w:p w14:paraId="2290D36A" w14:textId="77777777" w:rsidR="00DA7873" w:rsidRPr="00DA7873" w:rsidRDefault="00DA7873" w:rsidP="00DA7873">
      <w:pPr>
        <w:jc w:val="both"/>
        <w:textAlignment w:val="baseline"/>
        <w:rPr>
          <w:color w:val="000000"/>
          <w:sz w:val="24"/>
          <w:szCs w:val="24"/>
          <w:lang w:val="en-SG"/>
        </w:rPr>
      </w:pPr>
    </w:p>
    <w:p w14:paraId="290B4D52" w14:textId="421542CB" w:rsidR="00502147" w:rsidRPr="00DA7873" w:rsidRDefault="00502147" w:rsidP="00DA7873">
      <w:pPr>
        <w:pStyle w:val="ListParagraph"/>
        <w:numPr>
          <w:ilvl w:val="1"/>
          <w:numId w:val="12"/>
        </w:numPr>
        <w:jc w:val="both"/>
        <w:textAlignment w:val="baseline"/>
        <w:rPr>
          <w:color w:val="000000"/>
          <w:sz w:val="24"/>
          <w:szCs w:val="24"/>
          <w:lang w:val="en-SG"/>
        </w:rPr>
      </w:pPr>
      <w:r w:rsidRPr="00DA7873">
        <w:rPr>
          <w:color w:val="000000"/>
          <w:sz w:val="24"/>
          <w:szCs w:val="24"/>
          <w:lang w:val="en-SG"/>
        </w:rPr>
        <w:t xml:space="preserve">Once you and the CGST decide to proceed for a hearing, you will have to prepare and submit the necessary documents for the hearing. A document checklist is provided </w:t>
      </w:r>
      <w:proofErr w:type="gramStart"/>
      <w:r w:rsidRPr="00DA7873">
        <w:rPr>
          <w:color w:val="000000"/>
          <w:sz w:val="24"/>
          <w:szCs w:val="24"/>
          <w:lang w:val="en-SG"/>
        </w:rPr>
        <w:t xml:space="preserve">at </w:t>
      </w:r>
      <w:r w:rsidR="00DA7873">
        <w:rPr>
          <w:sz w:val="24"/>
          <w:szCs w:val="24"/>
        </w:rPr>
        <w:t xml:space="preserve"> Annex</w:t>
      </w:r>
      <w:proofErr w:type="gramEnd"/>
      <w:r w:rsidR="00DA7873">
        <w:rPr>
          <w:sz w:val="24"/>
          <w:szCs w:val="24"/>
        </w:rPr>
        <w:t xml:space="preserve"> B</w:t>
      </w:r>
      <w:r w:rsidR="00DA7873" w:rsidRPr="00B61804">
        <w:rPr>
          <w:rStyle w:val="FootnoteReference"/>
          <w:sz w:val="24"/>
        </w:rPr>
        <w:footnoteReference w:id="11"/>
      </w:r>
      <w:r w:rsidR="00DA7873" w:rsidRPr="00023416">
        <w:rPr>
          <w:sz w:val="24"/>
          <w:szCs w:val="24"/>
        </w:rPr>
        <w:t>.</w:t>
      </w:r>
      <w:r w:rsidRPr="00DA7873">
        <w:rPr>
          <w:color w:val="0562C1"/>
          <w:sz w:val="24"/>
          <w:szCs w:val="24"/>
          <w:u w:val="single"/>
          <w:lang w:val="en-SG"/>
        </w:rPr>
        <w:t xml:space="preserve"> </w:t>
      </w:r>
    </w:p>
    <w:p w14:paraId="4DBA98B9" w14:textId="77777777" w:rsidR="00502147" w:rsidRDefault="00502147" w:rsidP="00DA7873">
      <w:pPr>
        <w:tabs>
          <w:tab w:val="left" w:pos="720"/>
        </w:tabs>
        <w:jc w:val="both"/>
        <w:textAlignment w:val="baseline"/>
        <w:rPr>
          <w:b/>
          <w:color w:val="000000"/>
          <w:sz w:val="24"/>
          <w:szCs w:val="24"/>
          <w:lang w:val="en-SG"/>
        </w:rPr>
      </w:pPr>
    </w:p>
    <w:p w14:paraId="0A81E2E0" w14:textId="77777777" w:rsidR="00DA7873" w:rsidRDefault="00502147" w:rsidP="00DA7873">
      <w:pPr>
        <w:numPr>
          <w:ilvl w:val="0"/>
          <w:numId w:val="12"/>
        </w:numPr>
        <w:tabs>
          <w:tab w:val="left" w:pos="720"/>
        </w:tabs>
        <w:ind w:left="709" w:hanging="709"/>
        <w:jc w:val="both"/>
        <w:textAlignment w:val="baseline"/>
        <w:rPr>
          <w:b/>
          <w:color w:val="000000"/>
          <w:sz w:val="24"/>
          <w:szCs w:val="24"/>
          <w:lang w:val="en-SG"/>
        </w:rPr>
      </w:pPr>
      <w:r w:rsidRPr="00502147">
        <w:rPr>
          <w:b/>
          <w:color w:val="000000"/>
          <w:sz w:val="24"/>
          <w:szCs w:val="24"/>
          <w:lang w:val="en-SG"/>
        </w:rPr>
        <w:t>Grounds of Appeal</w:t>
      </w:r>
    </w:p>
    <w:p w14:paraId="33E973E8" w14:textId="77777777" w:rsidR="00DA7873" w:rsidRDefault="00DA7873" w:rsidP="00DA7873">
      <w:pPr>
        <w:tabs>
          <w:tab w:val="left" w:pos="720"/>
        </w:tabs>
        <w:ind w:left="709"/>
        <w:jc w:val="both"/>
        <w:textAlignment w:val="baseline"/>
        <w:rPr>
          <w:b/>
          <w:color w:val="000000"/>
          <w:sz w:val="24"/>
          <w:szCs w:val="24"/>
          <w:lang w:val="en-SG"/>
        </w:rPr>
      </w:pPr>
    </w:p>
    <w:p w14:paraId="1E105E87" w14:textId="6D11FC38" w:rsidR="00DA7873" w:rsidRPr="00DA7873" w:rsidRDefault="00DA7873" w:rsidP="00DA7873">
      <w:pPr>
        <w:pStyle w:val="ListParagraph"/>
        <w:numPr>
          <w:ilvl w:val="1"/>
          <w:numId w:val="12"/>
        </w:numPr>
        <w:jc w:val="both"/>
        <w:textAlignment w:val="baseline"/>
        <w:rPr>
          <w:color w:val="000000"/>
          <w:sz w:val="24"/>
          <w:szCs w:val="24"/>
          <w:lang w:val="en-SG"/>
        </w:rPr>
      </w:pPr>
      <w:r w:rsidRPr="00DA7873">
        <w:rPr>
          <w:color w:val="000000"/>
          <w:sz w:val="24"/>
          <w:szCs w:val="24"/>
          <w:lang w:val="en-SG"/>
        </w:rPr>
        <w:t xml:space="preserve">It is your </w:t>
      </w:r>
      <w:r w:rsidRPr="00DA7873">
        <w:rPr>
          <w:rFonts w:eastAsia="Times New Roman"/>
          <w:color w:val="000000"/>
          <w:sz w:val="24"/>
          <w:szCs w:val="24"/>
          <w:lang w:val="en-SG"/>
        </w:rPr>
        <w:t>responsibility</w:t>
      </w:r>
      <w:r w:rsidRPr="00DA7873">
        <w:rPr>
          <w:color w:val="000000"/>
          <w:sz w:val="24"/>
          <w:szCs w:val="24"/>
          <w:lang w:val="en-SG"/>
        </w:rPr>
        <w:t xml:space="preserve"> to prove to the Board that the decision of the CGST on the application for review and revision under section 49 is incorrect. Failure to do so will result in the CGST’s decision being upheld by the Board.</w:t>
      </w:r>
    </w:p>
    <w:p w14:paraId="75073350" w14:textId="77777777" w:rsidR="00DA7873" w:rsidRPr="00DA7873" w:rsidRDefault="00DA7873" w:rsidP="00DA7873">
      <w:pPr>
        <w:pStyle w:val="ListParagraph"/>
        <w:ind w:left="705"/>
        <w:jc w:val="both"/>
        <w:textAlignment w:val="baseline"/>
        <w:rPr>
          <w:color w:val="000000"/>
          <w:sz w:val="24"/>
          <w:szCs w:val="24"/>
          <w:lang w:val="en-SG"/>
        </w:rPr>
      </w:pPr>
    </w:p>
    <w:p w14:paraId="30486ED6" w14:textId="6605ED2C" w:rsidR="00DA7873" w:rsidRPr="00DA7873" w:rsidRDefault="00DA7873" w:rsidP="00DA7873">
      <w:pPr>
        <w:pStyle w:val="ListParagraph"/>
        <w:numPr>
          <w:ilvl w:val="1"/>
          <w:numId w:val="12"/>
        </w:numPr>
        <w:jc w:val="both"/>
        <w:textAlignment w:val="baseline"/>
        <w:rPr>
          <w:color w:val="000000"/>
          <w:sz w:val="24"/>
          <w:szCs w:val="24"/>
          <w:lang w:val="en-SG"/>
        </w:rPr>
      </w:pPr>
      <w:r w:rsidRPr="00DA7873">
        <w:rPr>
          <w:color w:val="000000"/>
          <w:sz w:val="24"/>
          <w:szCs w:val="24"/>
          <w:lang w:val="en-SG"/>
        </w:rPr>
        <w:t>It is not enough to state that you do not agree with the CGST’s decision; there must be detailed arguments supported by law and fact against each of the issues under appeal.</w:t>
      </w:r>
    </w:p>
    <w:p w14:paraId="65D0DB6F" w14:textId="77777777" w:rsidR="00DA7873" w:rsidRPr="00DA7873" w:rsidRDefault="00DA7873" w:rsidP="00DA7873">
      <w:pPr>
        <w:pStyle w:val="ListParagraph"/>
        <w:ind w:left="705"/>
        <w:jc w:val="both"/>
        <w:textAlignment w:val="baseline"/>
        <w:rPr>
          <w:color w:val="000000"/>
          <w:sz w:val="24"/>
          <w:szCs w:val="24"/>
          <w:lang w:val="en-SG"/>
        </w:rPr>
      </w:pPr>
    </w:p>
    <w:p w14:paraId="61FDC0D3" w14:textId="0C68A281" w:rsidR="00DA7873" w:rsidRDefault="00DA7873" w:rsidP="00DA7873">
      <w:pPr>
        <w:ind w:left="720" w:hanging="720"/>
        <w:jc w:val="both"/>
        <w:textAlignment w:val="baseline"/>
        <w:rPr>
          <w:color w:val="000000"/>
          <w:sz w:val="24"/>
          <w:szCs w:val="24"/>
          <w:lang w:val="en-SG"/>
        </w:rPr>
      </w:pPr>
      <w:r w:rsidRPr="00145829">
        <w:rPr>
          <w:color w:val="000000"/>
          <w:sz w:val="24"/>
          <w:szCs w:val="24"/>
          <w:lang w:val="en-SG"/>
        </w:rPr>
        <w:t xml:space="preserve">9.3. </w:t>
      </w:r>
      <w:r w:rsidRPr="00145829">
        <w:rPr>
          <w:color w:val="000000"/>
          <w:sz w:val="24"/>
          <w:szCs w:val="24"/>
          <w:lang w:val="en-SG"/>
        </w:rPr>
        <w:tab/>
        <w:t>While you will be able to develop your arguments in a detailed submission to the Board, during the hearing, you may not rely on any grounds of appeal other than the grounds stated in your Petition of Appeal, except with the consent of the Board.</w:t>
      </w:r>
    </w:p>
    <w:p w14:paraId="5EDB5AE2" w14:textId="77777777" w:rsidR="00DA7873" w:rsidRPr="00145829" w:rsidRDefault="00DA7873" w:rsidP="00DA7873">
      <w:pPr>
        <w:ind w:left="720" w:hanging="720"/>
        <w:jc w:val="both"/>
        <w:textAlignment w:val="baseline"/>
        <w:rPr>
          <w:color w:val="000000"/>
          <w:sz w:val="24"/>
          <w:szCs w:val="24"/>
          <w:lang w:val="en-SG"/>
        </w:rPr>
      </w:pPr>
    </w:p>
    <w:p w14:paraId="203A7016" w14:textId="22C8C9CC" w:rsidR="00DA7873" w:rsidRDefault="00DA7873" w:rsidP="00DA7873">
      <w:pPr>
        <w:ind w:left="720" w:hanging="720"/>
        <w:jc w:val="both"/>
        <w:textAlignment w:val="baseline"/>
        <w:rPr>
          <w:b/>
          <w:color w:val="000000"/>
          <w:sz w:val="24"/>
          <w:szCs w:val="24"/>
          <w:lang w:val="en-SG"/>
        </w:rPr>
      </w:pPr>
      <w:r w:rsidRPr="00145829">
        <w:rPr>
          <w:color w:val="000000"/>
          <w:sz w:val="24"/>
          <w:szCs w:val="24"/>
          <w:lang w:val="en-SG"/>
        </w:rPr>
        <w:t>9.4.</w:t>
      </w:r>
      <w:r w:rsidRPr="00145829">
        <w:rPr>
          <w:color w:val="000000"/>
          <w:sz w:val="24"/>
          <w:szCs w:val="24"/>
          <w:lang w:val="en-SG"/>
        </w:rPr>
        <w:tab/>
        <w:t>Therefore, it is important for you to state all the relevant issues, supporting fact and grounds for appeal in the Petition of Appeal and your supporting submission. A sample template case submission is provided at</w:t>
      </w:r>
      <w:r>
        <w:rPr>
          <w:color w:val="000000"/>
          <w:sz w:val="24"/>
          <w:szCs w:val="24"/>
          <w:lang w:val="en-SG"/>
        </w:rPr>
        <w:t xml:space="preserve"> Annex C</w:t>
      </w:r>
      <w:r>
        <w:rPr>
          <w:rStyle w:val="FootnoteReference"/>
          <w:color w:val="000000"/>
          <w:sz w:val="24"/>
          <w:szCs w:val="24"/>
          <w:lang w:val="en-SG"/>
        </w:rPr>
        <w:footnoteReference w:id="12"/>
      </w:r>
      <w:r>
        <w:rPr>
          <w:color w:val="000000"/>
          <w:sz w:val="24"/>
          <w:szCs w:val="24"/>
          <w:lang w:val="en-SG"/>
        </w:rPr>
        <w:t xml:space="preserve"> for</w:t>
      </w:r>
      <w:r w:rsidRPr="00145829">
        <w:rPr>
          <w:color w:val="000000"/>
          <w:sz w:val="24"/>
          <w:szCs w:val="24"/>
          <w:lang w:val="en-SG"/>
        </w:rPr>
        <w:t xml:space="preserve"> reference, though it cannot cover all circumstances.</w:t>
      </w:r>
    </w:p>
    <w:p w14:paraId="7CEAC99D" w14:textId="77777777" w:rsidR="00DA7873" w:rsidRDefault="00DA7873" w:rsidP="00DA7873">
      <w:pPr>
        <w:tabs>
          <w:tab w:val="left" w:pos="720"/>
        </w:tabs>
        <w:ind w:left="709"/>
        <w:jc w:val="both"/>
        <w:textAlignment w:val="baseline"/>
        <w:rPr>
          <w:b/>
          <w:color w:val="000000"/>
          <w:sz w:val="24"/>
          <w:szCs w:val="24"/>
          <w:lang w:val="en-SG"/>
        </w:rPr>
      </w:pPr>
    </w:p>
    <w:p w14:paraId="56459321" w14:textId="77777777" w:rsidR="00FE7FF1" w:rsidRDefault="00691323" w:rsidP="00DA7873">
      <w:pPr>
        <w:numPr>
          <w:ilvl w:val="0"/>
          <w:numId w:val="12"/>
        </w:numPr>
        <w:tabs>
          <w:tab w:val="left" w:pos="720"/>
        </w:tabs>
        <w:ind w:left="709" w:hanging="709"/>
        <w:jc w:val="both"/>
        <w:textAlignment w:val="baseline"/>
        <w:rPr>
          <w:b/>
          <w:color w:val="000000"/>
          <w:sz w:val="24"/>
          <w:szCs w:val="24"/>
          <w:lang w:val="en-SG"/>
        </w:rPr>
      </w:pPr>
      <w:r w:rsidRPr="00DA7873">
        <w:rPr>
          <w:b/>
          <w:color w:val="000000"/>
          <w:sz w:val="24"/>
          <w:szCs w:val="24"/>
          <w:lang w:val="en-SG"/>
        </w:rPr>
        <w:t xml:space="preserve">Do I </w:t>
      </w:r>
      <w:r w:rsidR="00DA7873" w:rsidRPr="00DA7873">
        <w:rPr>
          <w:b/>
          <w:color w:val="000000"/>
          <w:sz w:val="24"/>
          <w:szCs w:val="24"/>
          <w:lang w:val="en-SG"/>
        </w:rPr>
        <w:t xml:space="preserve">need to call for witnesses to submit evidence before </w:t>
      </w:r>
      <w:r w:rsidRPr="00DA7873">
        <w:rPr>
          <w:b/>
          <w:color w:val="000000"/>
          <w:sz w:val="24"/>
          <w:szCs w:val="24"/>
          <w:lang w:val="en-SG"/>
        </w:rPr>
        <w:t>the Board?</w:t>
      </w:r>
    </w:p>
    <w:p w14:paraId="462A4602" w14:textId="77777777" w:rsidR="00DA7873" w:rsidRPr="00DA7873" w:rsidRDefault="00DA7873" w:rsidP="00DA7873">
      <w:pPr>
        <w:tabs>
          <w:tab w:val="left" w:pos="720"/>
        </w:tabs>
        <w:ind w:left="709"/>
        <w:jc w:val="both"/>
        <w:textAlignment w:val="baseline"/>
        <w:rPr>
          <w:b/>
          <w:color w:val="000000"/>
          <w:sz w:val="24"/>
          <w:szCs w:val="24"/>
          <w:lang w:val="en-SG"/>
        </w:rPr>
      </w:pPr>
    </w:p>
    <w:p w14:paraId="5ECC9F94" w14:textId="041037AA" w:rsidR="00FE7FF1" w:rsidRDefault="009708DA" w:rsidP="00DA7873">
      <w:pPr>
        <w:pStyle w:val="ListParagraph"/>
        <w:numPr>
          <w:ilvl w:val="1"/>
          <w:numId w:val="12"/>
        </w:numPr>
        <w:jc w:val="both"/>
        <w:textAlignment w:val="baseline"/>
        <w:rPr>
          <w:rFonts w:eastAsia="Times New Roman"/>
          <w:color w:val="000000"/>
          <w:spacing w:val="-1"/>
          <w:sz w:val="24"/>
          <w:szCs w:val="24"/>
          <w:lang w:val="en-SG"/>
        </w:rPr>
      </w:pPr>
      <w:r w:rsidRPr="00DA7873">
        <w:rPr>
          <w:color w:val="000000"/>
          <w:spacing w:val="-1"/>
          <w:sz w:val="24"/>
          <w:szCs w:val="24"/>
          <w:lang w:val="en-SG"/>
        </w:rPr>
        <w:t xml:space="preserve">You may request witnesses to be called to give evidence before the Board by informing the Chairperson during the </w:t>
      </w:r>
      <w:r w:rsidR="00AB59B0" w:rsidRPr="00DA7873">
        <w:rPr>
          <w:color w:val="000000"/>
          <w:spacing w:val="-1"/>
          <w:sz w:val="24"/>
          <w:szCs w:val="24"/>
          <w:lang w:val="en-SG"/>
        </w:rPr>
        <w:t>CMC</w:t>
      </w:r>
      <w:r w:rsidR="002B5CC4" w:rsidRPr="00DA7873">
        <w:rPr>
          <w:rFonts w:eastAsia="Times New Roman"/>
          <w:color w:val="000000"/>
          <w:spacing w:val="-1"/>
          <w:sz w:val="24"/>
          <w:szCs w:val="24"/>
          <w:lang w:val="en-SG"/>
        </w:rPr>
        <w:t xml:space="preserve"> and notifying the secretary of your request at least 14 days before the hearing</w:t>
      </w:r>
      <w:r w:rsidRPr="00DA7873">
        <w:rPr>
          <w:rFonts w:eastAsia="Times New Roman"/>
          <w:color w:val="000000"/>
          <w:spacing w:val="-1"/>
          <w:sz w:val="24"/>
          <w:szCs w:val="24"/>
          <w:lang w:val="en-SG"/>
        </w:rPr>
        <w:t>.</w:t>
      </w:r>
      <w:r w:rsidRPr="00DA7873">
        <w:rPr>
          <w:color w:val="000000"/>
          <w:spacing w:val="-1"/>
          <w:sz w:val="24"/>
          <w:szCs w:val="24"/>
          <w:lang w:val="en-SG"/>
        </w:rPr>
        <w:t xml:space="preserve"> When the Chairperson gives directions to submit documents for a hearing, a date will also be given for the submission of affidavits (if any). All the documents required for the hearing are usually submitted at least one month before the hearing date. Should the parties wish to submit the affidavit</w:t>
      </w:r>
      <w:r w:rsidRPr="00DA7873">
        <w:rPr>
          <w:rFonts w:eastAsia="Times New Roman"/>
          <w:color w:val="000000"/>
          <w:spacing w:val="-1"/>
          <w:sz w:val="24"/>
          <w:szCs w:val="24"/>
          <w:lang w:val="en-SG"/>
        </w:rPr>
        <w:t xml:space="preserve"> after the deadline given by the Chairperson, approval needs to be sought from the Chairperson.</w:t>
      </w:r>
    </w:p>
    <w:p w14:paraId="6B12DD56" w14:textId="77777777" w:rsidR="00DA7873" w:rsidRPr="00DA7873" w:rsidRDefault="00DA7873" w:rsidP="00DA7873">
      <w:pPr>
        <w:pStyle w:val="ListParagraph"/>
        <w:ind w:left="705"/>
        <w:jc w:val="both"/>
        <w:textAlignment w:val="baseline"/>
        <w:rPr>
          <w:rFonts w:eastAsia="Times New Roman"/>
          <w:color w:val="000000"/>
          <w:spacing w:val="-1"/>
          <w:sz w:val="24"/>
          <w:szCs w:val="24"/>
          <w:lang w:val="en-SG"/>
        </w:rPr>
      </w:pPr>
    </w:p>
    <w:p w14:paraId="161B9B52" w14:textId="77777777" w:rsidR="00DA7873" w:rsidRPr="00DA7873" w:rsidRDefault="00DA7873" w:rsidP="00DA7873">
      <w:pPr>
        <w:pStyle w:val="ListParagraph"/>
        <w:numPr>
          <w:ilvl w:val="0"/>
          <w:numId w:val="12"/>
        </w:numPr>
        <w:ind w:left="709" w:hanging="709"/>
        <w:jc w:val="both"/>
        <w:textAlignment w:val="baseline"/>
        <w:rPr>
          <w:b/>
          <w:sz w:val="24"/>
          <w:szCs w:val="24"/>
          <w:lang w:val="en-SG"/>
        </w:rPr>
      </w:pPr>
      <w:r w:rsidRPr="00DA7873">
        <w:rPr>
          <w:b/>
          <w:sz w:val="24"/>
          <w:szCs w:val="24"/>
          <w:lang w:val="en-SG"/>
        </w:rPr>
        <w:t>Hearing of Appeals</w:t>
      </w:r>
    </w:p>
    <w:p w14:paraId="3C22667E" w14:textId="77777777" w:rsidR="00DA7873" w:rsidRDefault="00DA7873" w:rsidP="00DA7873">
      <w:pPr>
        <w:ind w:left="720" w:hanging="720"/>
        <w:jc w:val="both"/>
        <w:textAlignment w:val="baseline"/>
        <w:rPr>
          <w:color w:val="000000"/>
          <w:spacing w:val="-1"/>
          <w:sz w:val="24"/>
          <w:lang w:val="en-SG"/>
        </w:rPr>
      </w:pPr>
    </w:p>
    <w:p w14:paraId="0EC2B11D" w14:textId="7D34217D" w:rsidR="00DA7873" w:rsidRPr="00DA7873" w:rsidRDefault="00DA7873" w:rsidP="00DA7873">
      <w:pPr>
        <w:pStyle w:val="ListParagraph"/>
        <w:numPr>
          <w:ilvl w:val="1"/>
          <w:numId w:val="12"/>
        </w:numPr>
        <w:jc w:val="both"/>
        <w:textAlignment w:val="baseline"/>
        <w:rPr>
          <w:color w:val="000000"/>
          <w:spacing w:val="-1"/>
          <w:sz w:val="24"/>
          <w:lang w:val="en-SG"/>
        </w:rPr>
      </w:pPr>
      <w:r w:rsidRPr="00DA7873">
        <w:rPr>
          <w:color w:val="000000"/>
          <w:spacing w:val="-1"/>
          <w:sz w:val="24"/>
          <w:lang w:val="en-SG"/>
        </w:rPr>
        <w:t xml:space="preserve">The hearing date and place will be fixed after all hearing documents had been filed. </w:t>
      </w:r>
      <w:r w:rsidRPr="00DA7873">
        <w:rPr>
          <w:rFonts w:eastAsia="Times New Roman"/>
          <w:color w:val="000000"/>
          <w:spacing w:val="-1"/>
          <w:sz w:val="24"/>
          <w:lang w:val="en-SG"/>
        </w:rPr>
        <w:t>At least</w:t>
      </w:r>
      <w:r w:rsidRPr="00DA7873">
        <w:rPr>
          <w:color w:val="000000"/>
          <w:spacing w:val="-1"/>
          <w:sz w:val="24"/>
          <w:lang w:val="en-SG"/>
        </w:rPr>
        <w:t xml:space="preserve"> 14 days’ notice will be given to both the appellant and the CGST on the time and place for the hearing of the appeal. The notice will also include the composition of the Panel.</w:t>
      </w:r>
    </w:p>
    <w:p w14:paraId="5E1167FF" w14:textId="77777777" w:rsidR="00DA7873" w:rsidRPr="00DA7873" w:rsidRDefault="00DA7873" w:rsidP="00DA7873">
      <w:pPr>
        <w:pStyle w:val="ListParagraph"/>
        <w:ind w:left="705"/>
        <w:jc w:val="both"/>
        <w:textAlignment w:val="baseline"/>
        <w:rPr>
          <w:color w:val="000000"/>
          <w:spacing w:val="-1"/>
          <w:sz w:val="24"/>
          <w:lang w:val="en-SG"/>
        </w:rPr>
      </w:pPr>
    </w:p>
    <w:p w14:paraId="1F6A615D" w14:textId="117F35D4" w:rsidR="00DA7873" w:rsidRPr="00DA7873" w:rsidRDefault="00DA7873" w:rsidP="00DA7873">
      <w:pPr>
        <w:pStyle w:val="ListParagraph"/>
        <w:numPr>
          <w:ilvl w:val="1"/>
          <w:numId w:val="12"/>
        </w:numPr>
        <w:jc w:val="both"/>
        <w:textAlignment w:val="baseline"/>
        <w:rPr>
          <w:color w:val="000000"/>
          <w:sz w:val="24"/>
          <w:szCs w:val="24"/>
          <w:lang w:val="en-SG"/>
        </w:rPr>
      </w:pPr>
      <w:r w:rsidRPr="00DA7873">
        <w:rPr>
          <w:color w:val="000000"/>
          <w:sz w:val="24"/>
          <w:lang w:val="en-SG"/>
        </w:rPr>
        <w:t xml:space="preserve">The hearing must be attended by the appellant and the CGST, either in person or by an </w:t>
      </w:r>
      <w:r w:rsidRPr="00DA7873">
        <w:rPr>
          <w:color w:val="000000"/>
          <w:sz w:val="24"/>
          <w:szCs w:val="24"/>
          <w:lang w:val="en-SG"/>
        </w:rPr>
        <w:t>advocate and solicitor or accountant</w:t>
      </w:r>
      <w:r w:rsidRPr="00DA7873">
        <w:rPr>
          <w:rStyle w:val="FootnoteReference"/>
          <w:color w:val="000000"/>
          <w:sz w:val="24"/>
          <w:szCs w:val="24"/>
          <w:lang w:val="en-SG"/>
        </w:rPr>
        <w:footnoteReference w:id="13"/>
      </w:r>
      <w:r w:rsidRPr="00DA7873">
        <w:rPr>
          <w:color w:val="000000"/>
          <w:sz w:val="24"/>
          <w:szCs w:val="24"/>
          <w:lang w:val="en-SG"/>
        </w:rPr>
        <w:t>.</w:t>
      </w:r>
    </w:p>
    <w:p w14:paraId="4F25F936" w14:textId="77777777" w:rsidR="00DA7873" w:rsidRPr="00DA7873" w:rsidRDefault="00DA7873" w:rsidP="00DA7873">
      <w:pPr>
        <w:pStyle w:val="ListParagraph"/>
        <w:ind w:left="705"/>
        <w:jc w:val="both"/>
        <w:rPr>
          <w:sz w:val="24"/>
          <w:szCs w:val="24"/>
          <w:lang w:val="en-SG"/>
        </w:rPr>
      </w:pPr>
    </w:p>
    <w:p w14:paraId="03B7D613" w14:textId="450D9479" w:rsidR="00DA7873" w:rsidRPr="00DA7873" w:rsidRDefault="00DA7873" w:rsidP="00DA7873">
      <w:pPr>
        <w:pStyle w:val="ListParagraph"/>
        <w:numPr>
          <w:ilvl w:val="1"/>
          <w:numId w:val="12"/>
        </w:numPr>
        <w:jc w:val="both"/>
        <w:rPr>
          <w:sz w:val="24"/>
          <w:szCs w:val="24"/>
          <w:lang w:val="en-SG"/>
        </w:rPr>
      </w:pPr>
      <w:r w:rsidRPr="00DA7873">
        <w:rPr>
          <w:sz w:val="24"/>
          <w:szCs w:val="24"/>
          <w:lang w:val="en-SG"/>
        </w:rPr>
        <w:t>A witness is required to submit written statements under oath in the form of an affidavit that provides the witness’ account of facts (not opinions) to the Board.</w:t>
      </w:r>
    </w:p>
    <w:p w14:paraId="3E9C4895" w14:textId="77777777" w:rsidR="00DA7873" w:rsidRDefault="00DA7873" w:rsidP="00DA7873">
      <w:pPr>
        <w:pStyle w:val="ListParagraph"/>
        <w:ind w:left="705"/>
        <w:jc w:val="both"/>
        <w:rPr>
          <w:color w:val="000000"/>
          <w:sz w:val="24"/>
          <w:szCs w:val="24"/>
          <w:lang w:val="en-SG"/>
        </w:rPr>
      </w:pPr>
    </w:p>
    <w:p w14:paraId="0C994004" w14:textId="3505BEF9" w:rsidR="00DA7873" w:rsidRDefault="00DA7873" w:rsidP="00DA7873">
      <w:pPr>
        <w:pStyle w:val="ListParagraph"/>
        <w:numPr>
          <w:ilvl w:val="1"/>
          <w:numId w:val="12"/>
        </w:numPr>
        <w:jc w:val="both"/>
        <w:rPr>
          <w:color w:val="000000"/>
          <w:sz w:val="24"/>
          <w:szCs w:val="24"/>
          <w:lang w:val="en-SG"/>
        </w:rPr>
      </w:pPr>
      <w:r w:rsidRPr="00DA7873">
        <w:rPr>
          <w:color w:val="000000"/>
          <w:sz w:val="24"/>
          <w:szCs w:val="24"/>
          <w:lang w:val="en-SG"/>
        </w:rPr>
        <w:t xml:space="preserve">After the hearing, the panel members will decide either to give an oral or written judgment. Oral judgment will be given on the same day as the hearing. Written judgment </w:t>
      </w:r>
      <w:r w:rsidRPr="00DA7873">
        <w:rPr>
          <w:rFonts w:eastAsia="Times New Roman"/>
          <w:color w:val="000000"/>
          <w:sz w:val="24"/>
          <w:szCs w:val="24"/>
          <w:lang w:val="en-SG"/>
        </w:rPr>
        <w:t>may</w:t>
      </w:r>
      <w:r w:rsidRPr="00DA7873">
        <w:rPr>
          <w:color w:val="000000"/>
          <w:sz w:val="24"/>
          <w:szCs w:val="24"/>
          <w:lang w:val="en-SG"/>
        </w:rPr>
        <w:t xml:space="preserve"> be given </w:t>
      </w:r>
      <w:proofErr w:type="gramStart"/>
      <w:r w:rsidRPr="00DA7873">
        <w:rPr>
          <w:color w:val="000000"/>
          <w:sz w:val="24"/>
          <w:szCs w:val="24"/>
          <w:lang w:val="en-SG"/>
        </w:rPr>
        <w:t>at a later time</w:t>
      </w:r>
      <w:proofErr w:type="gramEnd"/>
      <w:r w:rsidRPr="00DA7873">
        <w:rPr>
          <w:color w:val="000000"/>
          <w:sz w:val="24"/>
          <w:szCs w:val="24"/>
          <w:lang w:val="en-SG"/>
        </w:rPr>
        <w:t>.</w:t>
      </w:r>
    </w:p>
    <w:p w14:paraId="6E39A2A8" w14:textId="77777777" w:rsidR="00DA7873" w:rsidRDefault="00DA7873" w:rsidP="00DA7873">
      <w:pPr>
        <w:pStyle w:val="ListParagraph"/>
        <w:ind w:left="705"/>
        <w:jc w:val="both"/>
        <w:rPr>
          <w:color w:val="000000"/>
          <w:sz w:val="24"/>
          <w:szCs w:val="24"/>
          <w:lang w:val="en-SG"/>
        </w:rPr>
      </w:pPr>
    </w:p>
    <w:p w14:paraId="1565DE09" w14:textId="77777777" w:rsidR="00DA7873" w:rsidRDefault="00DA7873" w:rsidP="00DA7873">
      <w:pPr>
        <w:pStyle w:val="ListParagraph"/>
        <w:numPr>
          <w:ilvl w:val="0"/>
          <w:numId w:val="12"/>
        </w:numPr>
        <w:ind w:left="709" w:hanging="709"/>
        <w:rPr>
          <w:b/>
          <w:sz w:val="24"/>
          <w:szCs w:val="24"/>
          <w:lang w:val="en-SG"/>
        </w:rPr>
      </w:pPr>
      <w:r w:rsidRPr="00DA7873">
        <w:rPr>
          <w:b/>
          <w:sz w:val="24"/>
          <w:szCs w:val="24"/>
          <w:lang w:val="en-SG"/>
        </w:rPr>
        <w:t xml:space="preserve">Are there any filing fees for </w:t>
      </w:r>
      <w:proofErr w:type="gramStart"/>
      <w:r w:rsidRPr="00DA7873">
        <w:rPr>
          <w:b/>
          <w:sz w:val="24"/>
          <w:szCs w:val="24"/>
          <w:lang w:val="en-SG"/>
        </w:rPr>
        <w:t>Appeals</w:t>
      </w:r>
      <w:proofErr w:type="gramEnd"/>
      <w:r w:rsidRPr="00DA7873">
        <w:rPr>
          <w:b/>
          <w:sz w:val="24"/>
          <w:szCs w:val="24"/>
          <w:lang w:val="en-SG"/>
        </w:rPr>
        <w:t>?</w:t>
      </w:r>
    </w:p>
    <w:p w14:paraId="0003C70E" w14:textId="77777777" w:rsidR="00DA7873" w:rsidRPr="00DA7873" w:rsidRDefault="00DA7873" w:rsidP="00DA7873">
      <w:pPr>
        <w:pStyle w:val="ListParagraph"/>
        <w:ind w:left="709"/>
        <w:rPr>
          <w:b/>
          <w:sz w:val="24"/>
          <w:szCs w:val="24"/>
          <w:lang w:val="en-SG"/>
        </w:rPr>
      </w:pPr>
    </w:p>
    <w:p w14:paraId="2BF81803" w14:textId="2B750875" w:rsidR="00DA7873" w:rsidRDefault="00DA7873" w:rsidP="00B61804">
      <w:pPr>
        <w:pStyle w:val="ListParagraph"/>
        <w:numPr>
          <w:ilvl w:val="1"/>
          <w:numId w:val="12"/>
        </w:numPr>
        <w:jc w:val="both"/>
        <w:textAlignment w:val="baseline"/>
        <w:rPr>
          <w:color w:val="000000"/>
          <w:sz w:val="24"/>
          <w:szCs w:val="24"/>
          <w:lang w:val="en-SG"/>
        </w:rPr>
      </w:pPr>
      <w:r w:rsidRPr="00DA7873">
        <w:rPr>
          <w:color w:val="000000"/>
          <w:sz w:val="24"/>
          <w:szCs w:val="24"/>
          <w:lang w:val="en-SG"/>
        </w:rPr>
        <w:t xml:space="preserve">Non-refundable filing fees will be payable when filing the petition of appeal. </w:t>
      </w:r>
      <w:r w:rsidR="007C56CA">
        <w:rPr>
          <w:color w:val="000000"/>
          <w:sz w:val="24"/>
          <w:szCs w:val="24"/>
          <w:lang w:val="en-SG"/>
        </w:rPr>
        <w:t xml:space="preserve">For </w:t>
      </w:r>
      <w:r w:rsidR="00EC6C44">
        <w:rPr>
          <w:color w:val="000000"/>
          <w:sz w:val="24"/>
          <w:szCs w:val="24"/>
          <w:lang w:val="en-SG"/>
        </w:rPr>
        <w:t xml:space="preserve">any </w:t>
      </w:r>
      <w:r w:rsidR="007C56CA">
        <w:rPr>
          <w:color w:val="000000"/>
          <w:sz w:val="24"/>
          <w:szCs w:val="24"/>
          <w:lang w:val="en-SG"/>
        </w:rPr>
        <w:t xml:space="preserve">appeal filed on or after </w:t>
      </w:r>
      <w:r w:rsidR="00137F2D">
        <w:rPr>
          <w:color w:val="000000"/>
          <w:sz w:val="24"/>
          <w:szCs w:val="24"/>
          <w:lang w:val="en-SG"/>
        </w:rPr>
        <w:t>1 April 2025</w:t>
      </w:r>
      <w:r w:rsidR="007C56CA">
        <w:rPr>
          <w:color w:val="000000"/>
          <w:sz w:val="24"/>
          <w:szCs w:val="24"/>
          <w:lang w:val="en-SG"/>
        </w:rPr>
        <w:t xml:space="preserve">, the </w:t>
      </w:r>
      <w:r w:rsidRPr="00DA7873">
        <w:rPr>
          <w:color w:val="000000"/>
          <w:sz w:val="24"/>
          <w:szCs w:val="24"/>
          <w:lang w:val="en-SG"/>
        </w:rPr>
        <w:t xml:space="preserve">fees are </w:t>
      </w:r>
      <w:r w:rsidR="007C56CA">
        <w:rPr>
          <w:color w:val="000000"/>
          <w:sz w:val="24"/>
          <w:szCs w:val="24"/>
          <w:lang w:val="en-SG"/>
        </w:rPr>
        <w:t xml:space="preserve">based on the disputed tax amount </w:t>
      </w:r>
      <w:r w:rsidRPr="00DA7873">
        <w:rPr>
          <w:color w:val="000000"/>
          <w:sz w:val="24"/>
          <w:szCs w:val="24"/>
          <w:lang w:val="en-SG"/>
        </w:rPr>
        <w:t>as follows:</w:t>
      </w:r>
    </w:p>
    <w:p w14:paraId="181AC67E" w14:textId="77777777" w:rsidR="007C56CA" w:rsidRPr="00DA7873" w:rsidRDefault="007C56CA" w:rsidP="007C56CA">
      <w:pPr>
        <w:pStyle w:val="ListParagraph"/>
        <w:ind w:left="705"/>
        <w:jc w:val="both"/>
        <w:textAlignment w:val="baseline"/>
        <w:rPr>
          <w:color w:val="000000"/>
          <w:sz w:val="24"/>
          <w:szCs w:val="24"/>
          <w:lang w:val="en-SG"/>
        </w:rPr>
      </w:pPr>
    </w:p>
    <w:tbl>
      <w:tblPr>
        <w:tblStyle w:val="TableGrid1"/>
        <w:tblW w:w="0" w:type="auto"/>
        <w:tblInd w:w="709" w:type="dxa"/>
        <w:tblLook w:val="04A0" w:firstRow="1" w:lastRow="0" w:firstColumn="1" w:lastColumn="0" w:noHBand="0" w:noVBand="1"/>
      </w:tblPr>
      <w:tblGrid>
        <w:gridCol w:w="704"/>
        <w:gridCol w:w="5812"/>
        <w:gridCol w:w="1791"/>
        <w:gridCol w:w="54"/>
      </w:tblGrid>
      <w:tr w:rsidR="007C56CA" w:rsidRPr="007C56CA" w14:paraId="79926515" w14:textId="77777777" w:rsidTr="00FB5E28">
        <w:trPr>
          <w:gridAfter w:val="1"/>
          <w:wAfter w:w="54" w:type="dxa"/>
        </w:trPr>
        <w:tc>
          <w:tcPr>
            <w:tcW w:w="704" w:type="dxa"/>
            <w:shd w:val="clear" w:color="auto" w:fill="EAEDF1" w:themeFill="text2" w:themeFillTint="1A"/>
          </w:tcPr>
          <w:p w14:paraId="312A70BE"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
                <w:color w:val="000000"/>
                <w:spacing w:val="-1"/>
                <w:sz w:val="24"/>
                <w:u w:val="single"/>
              </w:rPr>
            </w:pPr>
          </w:p>
        </w:tc>
        <w:tc>
          <w:tcPr>
            <w:tcW w:w="5812" w:type="dxa"/>
            <w:shd w:val="clear" w:color="auto" w:fill="EAEDF1" w:themeFill="text2" w:themeFillTint="1A"/>
          </w:tcPr>
          <w:p w14:paraId="4434088F"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
                <w:color w:val="000000"/>
                <w:spacing w:val="-1"/>
                <w:sz w:val="24"/>
                <w:u w:val="single"/>
              </w:rPr>
            </w:pPr>
            <w:r w:rsidRPr="007C56CA">
              <w:rPr>
                <w:rFonts w:ascii="Times New Roman" w:eastAsia="Times New Roman" w:hAnsi="Times New Roman" w:cs="Times New Roman"/>
                <w:b/>
                <w:color w:val="000000"/>
                <w:spacing w:val="-1"/>
                <w:sz w:val="24"/>
                <w:u w:val="single"/>
              </w:rPr>
              <w:t>Disputed tax amount</w:t>
            </w:r>
          </w:p>
        </w:tc>
        <w:tc>
          <w:tcPr>
            <w:tcW w:w="1791" w:type="dxa"/>
            <w:shd w:val="clear" w:color="auto" w:fill="EAEDF1" w:themeFill="text2" w:themeFillTint="1A"/>
          </w:tcPr>
          <w:p w14:paraId="1B392021"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
                <w:color w:val="000000"/>
                <w:spacing w:val="-1"/>
                <w:sz w:val="24"/>
                <w:u w:val="single"/>
              </w:rPr>
            </w:pPr>
            <w:r w:rsidRPr="007C56CA">
              <w:rPr>
                <w:rFonts w:ascii="Times New Roman" w:eastAsia="Times New Roman" w:hAnsi="Times New Roman" w:cs="Times New Roman"/>
                <w:b/>
                <w:color w:val="000000"/>
                <w:spacing w:val="-1"/>
                <w:sz w:val="24"/>
                <w:u w:val="single"/>
              </w:rPr>
              <w:t>Filing fee</w:t>
            </w:r>
          </w:p>
        </w:tc>
      </w:tr>
      <w:tr w:rsidR="007C56CA" w:rsidRPr="007C56CA" w14:paraId="3A34F9F4" w14:textId="77777777" w:rsidTr="00B61804">
        <w:tc>
          <w:tcPr>
            <w:tcW w:w="704" w:type="dxa"/>
          </w:tcPr>
          <w:p w14:paraId="003CC155" w14:textId="43D230DE" w:rsidR="007C56CA" w:rsidRPr="00B61804" w:rsidRDefault="007C56CA" w:rsidP="00B61804">
            <w:pPr>
              <w:pStyle w:val="ListParagraph"/>
              <w:tabs>
                <w:tab w:val="left" w:pos="720"/>
              </w:tabs>
              <w:ind w:left="0"/>
              <w:jc w:val="both"/>
              <w:textAlignment w:val="baseline"/>
              <w:rPr>
                <w:rFonts w:ascii="Times New Roman" w:hAnsi="Times New Roman"/>
                <w:color w:val="000000"/>
                <w:spacing w:val="-1"/>
                <w:sz w:val="24"/>
              </w:rPr>
            </w:pPr>
            <w:r w:rsidRPr="00B61804">
              <w:rPr>
                <w:color w:val="000000"/>
                <w:spacing w:val="-1"/>
                <w:sz w:val="24"/>
              </w:rPr>
              <w:t>(a)</w:t>
            </w:r>
          </w:p>
        </w:tc>
        <w:tc>
          <w:tcPr>
            <w:tcW w:w="5812" w:type="dxa"/>
          </w:tcPr>
          <w:p w14:paraId="35D1802B" w14:textId="43E1DD81" w:rsidR="007C56CA" w:rsidRPr="00B61804" w:rsidRDefault="007C56CA" w:rsidP="00B61804">
            <w:pPr>
              <w:pStyle w:val="ListParagraph"/>
              <w:tabs>
                <w:tab w:val="left" w:pos="720"/>
              </w:tabs>
              <w:ind w:left="0"/>
              <w:jc w:val="both"/>
              <w:textAlignment w:val="baseline"/>
              <w:rPr>
                <w:rFonts w:ascii="Times New Roman" w:hAnsi="Times New Roman"/>
                <w:color w:val="000000"/>
                <w:spacing w:val="-1"/>
                <w:sz w:val="24"/>
              </w:rPr>
            </w:pPr>
            <w:r w:rsidRPr="007C56CA">
              <w:rPr>
                <w:rFonts w:ascii="Times New Roman" w:eastAsia="Times New Roman" w:hAnsi="Times New Roman" w:cs="Times New Roman"/>
                <w:bCs/>
                <w:color w:val="000000"/>
                <w:spacing w:val="-1"/>
                <w:sz w:val="24"/>
              </w:rPr>
              <w:t xml:space="preserve">Appeal does not involve a disputed tax amount </w:t>
            </w:r>
          </w:p>
        </w:tc>
        <w:tc>
          <w:tcPr>
            <w:tcW w:w="1791" w:type="dxa"/>
            <w:gridSpan w:val="2"/>
          </w:tcPr>
          <w:p w14:paraId="412EC47E"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$75</w:t>
            </w:r>
          </w:p>
        </w:tc>
      </w:tr>
      <w:tr w:rsidR="007C56CA" w:rsidRPr="007C56CA" w14:paraId="7EC831CB" w14:textId="77777777" w:rsidTr="00B61804">
        <w:tc>
          <w:tcPr>
            <w:tcW w:w="704" w:type="dxa"/>
          </w:tcPr>
          <w:p w14:paraId="1D65D9DD" w14:textId="4AFB6A11" w:rsidR="007C56CA" w:rsidRPr="00B61804" w:rsidRDefault="007C56CA" w:rsidP="00B61804">
            <w:pPr>
              <w:pStyle w:val="ListParagraph"/>
              <w:tabs>
                <w:tab w:val="left" w:pos="720"/>
              </w:tabs>
              <w:ind w:left="0"/>
              <w:jc w:val="both"/>
              <w:textAlignment w:val="baseline"/>
              <w:rPr>
                <w:rFonts w:ascii="Times New Roman" w:hAnsi="Times New Roman"/>
                <w:color w:val="000000"/>
                <w:spacing w:val="-1"/>
                <w:sz w:val="24"/>
              </w:rPr>
            </w:pPr>
            <w:r w:rsidRPr="00B61804">
              <w:rPr>
                <w:color w:val="000000"/>
                <w:spacing w:val="-1"/>
                <w:sz w:val="24"/>
              </w:rPr>
              <w:t xml:space="preserve">(b) </w:t>
            </w:r>
          </w:p>
        </w:tc>
        <w:tc>
          <w:tcPr>
            <w:tcW w:w="5812" w:type="dxa"/>
          </w:tcPr>
          <w:p w14:paraId="6763AD0E" w14:textId="2A20DD9A" w:rsidR="007C56CA" w:rsidRPr="00B61804" w:rsidRDefault="007C56CA" w:rsidP="00B61804">
            <w:pPr>
              <w:pStyle w:val="ListParagraph"/>
              <w:tabs>
                <w:tab w:val="left" w:pos="720"/>
              </w:tabs>
              <w:ind w:left="0"/>
              <w:jc w:val="both"/>
              <w:textAlignment w:val="baseline"/>
              <w:rPr>
                <w:rFonts w:ascii="Times New Roman" w:hAnsi="Times New Roman"/>
                <w:color w:val="000000"/>
                <w:spacing w:val="-1"/>
                <w:sz w:val="24"/>
              </w:rPr>
            </w:pPr>
            <w:r w:rsidRPr="007C56CA">
              <w:rPr>
                <w:rFonts w:ascii="Times New Roman" w:eastAsia="Times New Roman" w:hAnsi="Times New Roman" w:cs="Times New Roman"/>
                <w:bCs/>
                <w:color w:val="000000"/>
                <w:spacing w:val="-1"/>
                <w:sz w:val="24"/>
              </w:rPr>
              <w:t>Does not exceed $30,000</w:t>
            </w:r>
          </w:p>
        </w:tc>
        <w:tc>
          <w:tcPr>
            <w:tcW w:w="1791" w:type="dxa"/>
            <w:gridSpan w:val="2"/>
          </w:tcPr>
          <w:p w14:paraId="75F2CDA5"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$75</w:t>
            </w:r>
          </w:p>
        </w:tc>
      </w:tr>
      <w:tr w:rsidR="007C56CA" w:rsidRPr="007C56CA" w14:paraId="17BD885C" w14:textId="77777777" w:rsidTr="00FB5E28">
        <w:trPr>
          <w:gridAfter w:val="1"/>
          <w:wAfter w:w="54" w:type="dxa"/>
        </w:trPr>
        <w:tc>
          <w:tcPr>
            <w:tcW w:w="704" w:type="dxa"/>
          </w:tcPr>
          <w:p w14:paraId="612B2684"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(c)</w:t>
            </w:r>
          </w:p>
        </w:tc>
        <w:tc>
          <w:tcPr>
            <w:tcW w:w="5812" w:type="dxa"/>
          </w:tcPr>
          <w:p w14:paraId="4F7173D6"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Exceeds $30,000 but does not exceed $250,000</w:t>
            </w:r>
          </w:p>
        </w:tc>
        <w:tc>
          <w:tcPr>
            <w:tcW w:w="1791" w:type="dxa"/>
          </w:tcPr>
          <w:p w14:paraId="4E75C96F"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$200</w:t>
            </w:r>
          </w:p>
        </w:tc>
      </w:tr>
      <w:tr w:rsidR="007C56CA" w:rsidRPr="007C56CA" w14:paraId="67936B69" w14:textId="77777777" w:rsidTr="00FB5E28">
        <w:trPr>
          <w:gridAfter w:val="1"/>
          <w:wAfter w:w="54" w:type="dxa"/>
        </w:trPr>
        <w:tc>
          <w:tcPr>
            <w:tcW w:w="704" w:type="dxa"/>
          </w:tcPr>
          <w:p w14:paraId="5D24ED83"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(d)</w:t>
            </w:r>
          </w:p>
        </w:tc>
        <w:tc>
          <w:tcPr>
            <w:tcW w:w="5812" w:type="dxa"/>
          </w:tcPr>
          <w:p w14:paraId="6CB8AE5A"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Exceeds $250,000 but does not exceed $1m</w:t>
            </w:r>
          </w:p>
        </w:tc>
        <w:tc>
          <w:tcPr>
            <w:tcW w:w="1791" w:type="dxa"/>
          </w:tcPr>
          <w:p w14:paraId="0405A4E4"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$400</w:t>
            </w:r>
          </w:p>
        </w:tc>
      </w:tr>
      <w:tr w:rsidR="007C56CA" w:rsidRPr="007C56CA" w14:paraId="61A49C6E" w14:textId="77777777" w:rsidTr="00FB5E28">
        <w:trPr>
          <w:gridAfter w:val="1"/>
          <w:wAfter w:w="54" w:type="dxa"/>
        </w:trPr>
        <w:tc>
          <w:tcPr>
            <w:tcW w:w="704" w:type="dxa"/>
          </w:tcPr>
          <w:p w14:paraId="1D8C77E8"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(e)</w:t>
            </w:r>
          </w:p>
        </w:tc>
        <w:tc>
          <w:tcPr>
            <w:tcW w:w="5812" w:type="dxa"/>
          </w:tcPr>
          <w:p w14:paraId="30E0D42D"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Exceeds $1m</w:t>
            </w:r>
          </w:p>
        </w:tc>
        <w:tc>
          <w:tcPr>
            <w:tcW w:w="1791" w:type="dxa"/>
          </w:tcPr>
          <w:p w14:paraId="3C389478" w14:textId="77777777" w:rsidR="007C56CA" w:rsidRPr="007C56CA" w:rsidRDefault="007C56CA" w:rsidP="00FB5E28">
            <w:pPr>
              <w:pStyle w:val="ListParagraph"/>
              <w:tabs>
                <w:tab w:val="left" w:pos="720"/>
              </w:tabs>
              <w:ind w:left="0"/>
              <w:jc w:val="both"/>
              <w:textAlignment w:val="baseline"/>
              <w:rPr>
                <w:rFonts w:ascii="Times New Roman" w:eastAsia="Times New Roman" w:hAnsi="Times New Roman" w:cs="Times New Roman"/>
                <w:bCs/>
                <w:color w:val="000000"/>
                <w:spacing w:val="-1"/>
                <w:sz w:val="24"/>
              </w:rPr>
            </w:pPr>
            <w:r w:rsidRPr="007C56CA">
              <w:rPr>
                <w:rFonts w:ascii="Times New Roman" w:eastAsia="Times New Roman" w:hAnsi="Times New Roman" w:cs="Times New Roman"/>
                <w:bCs/>
                <w:color w:val="000000"/>
                <w:spacing w:val="-1"/>
                <w:sz w:val="24"/>
              </w:rPr>
              <w:t>$600</w:t>
            </w:r>
          </w:p>
        </w:tc>
      </w:tr>
    </w:tbl>
    <w:p w14:paraId="2C74B3C4" w14:textId="77777777" w:rsidR="00DA7873" w:rsidRPr="00DA7873" w:rsidRDefault="00DA7873" w:rsidP="00DA7873">
      <w:pPr>
        <w:jc w:val="both"/>
        <w:rPr>
          <w:sz w:val="24"/>
          <w:szCs w:val="24"/>
          <w:lang w:val="en-SG"/>
        </w:rPr>
      </w:pPr>
    </w:p>
    <w:p w14:paraId="14212AD7" w14:textId="77777777" w:rsidR="00DA7873" w:rsidRDefault="00DA7873" w:rsidP="00C2645F">
      <w:pPr>
        <w:pStyle w:val="ListParagraph"/>
        <w:numPr>
          <w:ilvl w:val="1"/>
          <w:numId w:val="12"/>
        </w:numPr>
        <w:jc w:val="both"/>
        <w:textAlignment w:val="baseline"/>
        <w:rPr>
          <w:color w:val="000000"/>
          <w:sz w:val="24"/>
          <w:szCs w:val="24"/>
          <w:lang w:val="en-SG"/>
        </w:rPr>
      </w:pPr>
      <w:r w:rsidRPr="00C2645F">
        <w:rPr>
          <w:color w:val="000000"/>
          <w:sz w:val="24"/>
          <w:szCs w:val="24"/>
          <w:lang w:val="en-SG"/>
        </w:rPr>
        <w:t xml:space="preserve">Payment of prescribed fees to the Goods and Services Tax Board of Review shall be made by way of </w:t>
      </w:r>
      <w:proofErr w:type="spellStart"/>
      <w:r w:rsidRPr="00C2645F">
        <w:rPr>
          <w:color w:val="000000"/>
          <w:sz w:val="24"/>
          <w:szCs w:val="24"/>
          <w:lang w:val="en-SG"/>
        </w:rPr>
        <w:t>PayNow</w:t>
      </w:r>
      <w:proofErr w:type="spellEnd"/>
      <w:r w:rsidRPr="00C2645F">
        <w:rPr>
          <w:color w:val="000000"/>
          <w:sz w:val="24"/>
          <w:szCs w:val="24"/>
          <w:lang w:val="en-SG"/>
        </w:rPr>
        <w:t xml:space="preserve"> Corporate.</w:t>
      </w:r>
    </w:p>
    <w:p w14:paraId="57753C44" w14:textId="77777777" w:rsidR="00C2645F" w:rsidRDefault="00C2645F" w:rsidP="00C2645F">
      <w:pPr>
        <w:pStyle w:val="ListParagraph"/>
        <w:ind w:left="705"/>
        <w:jc w:val="both"/>
        <w:textAlignment w:val="baseline"/>
        <w:rPr>
          <w:color w:val="000000"/>
          <w:sz w:val="24"/>
          <w:szCs w:val="24"/>
          <w:lang w:val="en-SG"/>
        </w:rPr>
      </w:pPr>
    </w:p>
    <w:p w14:paraId="4795E574" w14:textId="77777777" w:rsidR="00DA7873" w:rsidRDefault="00DA7873" w:rsidP="00C2645F">
      <w:pPr>
        <w:pStyle w:val="ListParagraph"/>
        <w:numPr>
          <w:ilvl w:val="1"/>
          <w:numId w:val="12"/>
        </w:numPr>
        <w:jc w:val="both"/>
        <w:textAlignment w:val="baseline"/>
        <w:rPr>
          <w:color w:val="000000"/>
          <w:sz w:val="24"/>
          <w:szCs w:val="24"/>
          <w:lang w:val="en-SG"/>
        </w:rPr>
      </w:pPr>
      <w:r w:rsidRPr="00C2645F">
        <w:rPr>
          <w:color w:val="000000"/>
          <w:sz w:val="24"/>
          <w:szCs w:val="24"/>
          <w:lang w:val="en-SG"/>
        </w:rPr>
        <w:t>Please enter our UEN as “T08GA0013EM01” when making payment or scan the following QR code</w:t>
      </w:r>
      <w:r w:rsidR="00C2645F">
        <w:rPr>
          <w:color w:val="000000"/>
          <w:sz w:val="24"/>
          <w:szCs w:val="24"/>
          <w:lang w:val="en-SG"/>
        </w:rPr>
        <w:t>:</w:t>
      </w:r>
    </w:p>
    <w:p w14:paraId="5C906A6E" w14:textId="77777777" w:rsidR="00C2645F" w:rsidRPr="00C2645F" w:rsidRDefault="00C2645F" w:rsidP="00C2645F">
      <w:pPr>
        <w:jc w:val="both"/>
        <w:textAlignment w:val="baseline"/>
        <w:rPr>
          <w:color w:val="000000"/>
          <w:sz w:val="24"/>
          <w:szCs w:val="24"/>
          <w:lang w:val="en-SG"/>
        </w:rPr>
      </w:pPr>
    </w:p>
    <w:p w14:paraId="2B4FEF41" w14:textId="77777777" w:rsidR="00C2645F" w:rsidRPr="00C2645F" w:rsidRDefault="00C2645F" w:rsidP="00C2645F">
      <w:pPr>
        <w:pStyle w:val="ListParagraph"/>
        <w:jc w:val="center"/>
        <w:rPr>
          <w:color w:val="000000"/>
          <w:sz w:val="24"/>
          <w:szCs w:val="24"/>
          <w:lang w:val="en-SG"/>
        </w:rPr>
      </w:pPr>
      <w:r w:rsidRPr="00953EA4">
        <w:rPr>
          <w:noProof/>
          <w:lang w:val="en-SG"/>
        </w:rPr>
        <w:drawing>
          <wp:inline distT="0" distB="0" distL="0" distR="0" wp14:anchorId="15AF1552" wp14:editId="78D1B903">
            <wp:extent cx="2667000" cy="29686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10"/>
                    <a:stretch>
                      <a:fillRect/>
                    </a:stretch>
                  </pic:blipFill>
                  <pic:spPr>
                    <a:xfrm>
                      <a:off x="0" y="0"/>
                      <a:ext cx="2667000" cy="2968625"/>
                    </a:xfrm>
                    <a:prstGeom prst="rect">
                      <a:avLst/>
                    </a:prstGeom>
                  </pic:spPr>
                </pic:pic>
              </a:graphicData>
            </a:graphic>
          </wp:inline>
        </w:drawing>
      </w:r>
    </w:p>
    <w:p w14:paraId="349A5CAB" w14:textId="77777777" w:rsidR="00C2645F" w:rsidRDefault="00C2645F" w:rsidP="00C2645F">
      <w:pPr>
        <w:pStyle w:val="ListParagraph"/>
        <w:ind w:left="705"/>
        <w:jc w:val="both"/>
        <w:textAlignment w:val="baseline"/>
        <w:rPr>
          <w:color w:val="000000"/>
          <w:sz w:val="24"/>
          <w:lang w:val="en-SG"/>
        </w:rPr>
      </w:pPr>
    </w:p>
    <w:p w14:paraId="20E1CD9C" w14:textId="77777777" w:rsidR="00C2645F" w:rsidRDefault="00C2645F" w:rsidP="00C2645F">
      <w:pPr>
        <w:pStyle w:val="ListParagraph"/>
        <w:numPr>
          <w:ilvl w:val="1"/>
          <w:numId w:val="12"/>
        </w:numPr>
        <w:jc w:val="both"/>
        <w:textAlignment w:val="baseline"/>
        <w:rPr>
          <w:color w:val="000000"/>
          <w:sz w:val="24"/>
          <w:lang w:val="en-SG"/>
        </w:rPr>
      </w:pPr>
      <w:r w:rsidRPr="00C2645F">
        <w:rPr>
          <w:color w:val="000000"/>
          <w:sz w:val="24"/>
          <w:lang w:val="en-SG"/>
        </w:rPr>
        <w:lastRenderedPageBreak/>
        <w:t>Please indicate “GSTBR-” followed by your GST Registration No. in the remarks when making the transfer. For e.g. If the GST Registration No. is A12345678A, the reference in the remarks will be “GSTBR-A12345678A”.</w:t>
      </w:r>
    </w:p>
    <w:p w14:paraId="1199AA13" w14:textId="77777777" w:rsidR="00C2645F" w:rsidRPr="00C2645F" w:rsidRDefault="00C2645F" w:rsidP="00C2645F">
      <w:pPr>
        <w:pStyle w:val="ListParagraph"/>
        <w:rPr>
          <w:color w:val="000000"/>
          <w:sz w:val="24"/>
          <w:lang w:val="en-SG"/>
        </w:rPr>
      </w:pPr>
    </w:p>
    <w:p w14:paraId="4F1E4A8E" w14:textId="5E8F8C81" w:rsidR="00C2645F" w:rsidRDefault="00C2645F" w:rsidP="00C2645F">
      <w:pPr>
        <w:pStyle w:val="ListParagraph"/>
        <w:numPr>
          <w:ilvl w:val="1"/>
          <w:numId w:val="12"/>
        </w:numPr>
        <w:jc w:val="both"/>
        <w:textAlignment w:val="baseline"/>
        <w:rPr>
          <w:color w:val="000000"/>
          <w:sz w:val="24"/>
          <w:lang w:val="en-SG"/>
        </w:rPr>
      </w:pPr>
      <w:r w:rsidRPr="00C2645F">
        <w:rPr>
          <w:color w:val="000000"/>
          <w:sz w:val="24"/>
          <w:lang w:val="en-SG"/>
        </w:rPr>
        <w:t xml:space="preserve">Please note that if any authorisation for the payment of fees to the Board is dishonoured or revoked, and if payment is not received within </w:t>
      </w:r>
      <w:r w:rsidR="00E0454F">
        <w:rPr>
          <w:color w:val="000000"/>
          <w:sz w:val="24"/>
          <w:lang w:val="en-SG"/>
        </w:rPr>
        <w:t xml:space="preserve">7 </w:t>
      </w:r>
      <w:r w:rsidRPr="00C2645F">
        <w:rPr>
          <w:color w:val="000000"/>
          <w:sz w:val="24"/>
          <w:lang w:val="en-SG"/>
        </w:rPr>
        <w:t>days after being notified of such dishonour or revocation, the notice of appeal or notification that the dishonoured or revoked payment was made for would be deemed not to be lodged.</w:t>
      </w:r>
    </w:p>
    <w:p w14:paraId="581F1781" w14:textId="77777777" w:rsidR="00C2645F" w:rsidRPr="00C2645F" w:rsidRDefault="00C2645F" w:rsidP="00C2645F">
      <w:pPr>
        <w:pStyle w:val="ListParagraph"/>
        <w:rPr>
          <w:color w:val="000000"/>
          <w:sz w:val="24"/>
          <w:lang w:val="en-SG"/>
        </w:rPr>
      </w:pPr>
    </w:p>
    <w:p w14:paraId="380C21C5" w14:textId="5BBE28C6" w:rsidR="00C54F7C" w:rsidRDefault="00994452" w:rsidP="00B61804">
      <w:pPr>
        <w:pStyle w:val="ListParagraph"/>
        <w:numPr>
          <w:ilvl w:val="1"/>
          <w:numId w:val="12"/>
        </w:numPr>
        <w:jc w:val="both"/>
        <w:textAlignment w:val="baseline"/>
        <w:rPr>
          <w:color w:val="000000"/>
          <w:sz w:val="24"/>
          <w:lang w:val="en-SG"/>
        </w:rPr>
      </w:pPr>
      <w:r w:rsidRPr="008C71B1">
        <w:rPr>
          <w:color w:val="000000"/>
          <w:sz w:val="24"/>
          <w:lang w:val="en-SG"/>
        </w:rPr>
        <w:t xml:space="preserve">Where filing fees need to be refunded, </w:t>
      </w:r>
      <w:r w:rsidR="00C2645F" w:rsidRPr="008C71B1">
        <w:rPr>
          <w:color w:val="000000"/>
          <w:sz w:val="24"/>
          <w:lang w:val="en-SG"/>
        </w:rPr>
        <w:t xml:space="preserve">the refund will approximately take 2 weeks (subject to any rejection from the Bank) from the next working day after the appellant’s bank account details are verified to be in order. If the appellant does not have an existing bank record with the </w:t>
      </w:r>
      <w:proofErr w:type="gramStart"/>
      <w:r w:rsidR="00C2645F" w:rsidRPr="008C71B1">
        <w:rPr>
          <w:color w:val="000000"/>
          <w:sz w:val="24"/>
          <w:lang w:val="en-SG"/>
        </w:rPr>
        <w:t>Accountant</w:t>
      </w:r>
      <w:proofErr w:type="gramEnd"/>
      <w:r w:rsidR="00C2645F" w:rsidRPr="008C71B1">
        <w:rPr>
          <w:color w:val="000000"/>
          <w:sz w:val="24"/>
          <w:lang w:val="en-SG"/>
        </w:rPr>
        <w:t>-General</w:t>
      </w:r>
      <w:r w:rsidR="003F2929">
        <w:rPr>
          <w:color w:val="000000"/>
          <w:sz w:val="24"/>
          <w:lang w:val="en-SG"/>
        </w:rPr>
        <w:t>:</w:t>
      </w:r>
      <w:r w:rsidR="00C2645F" w:rsidRPr="008C71B1">
        <w:rPr>
          <w:color w:val="000000"/>
          <w:sz w:val="24"/>
          <w:lang w:val="en-SG"/>
        </w:rPr>
        <w:t xml:space="preserve"> </w:t>
      </w:r>
      <w:r w:rsidR="004E352F" w:rsidRPr="008C71B1">
        <w:rPr>
          <w:color w:val="000000"/>
          <w:sz w:val="24"/>
          <w:lang w:val="en-SG"/>
        </w:rPr>
        <w:t xml:space="preserve">(a) </w:t>
      </w:r>
      <w:r w:rsidR="00C2645F" w:rsidRPr="008C71B1">
        <w:rPr>
          <w:color w:val="000000"/>
          <w:sz w:val="24"/>
          <w:lang w:val="en-SG"/>
        </w:rPr>
        <w:t>the appellant is required to fill in a Direct Credit Authorisation Form</w:t>
      </w:r>
      <w:r w:rsidR="003F2929">
        <w:rPr>
          <w:color w:val="000000"/>
          <w:sz w:val="24"/>
          <w:lang w:val="en-SG"/>
        </w:rPr>
        <w:t>;</w:t>
      </w:r>
      <w:r w:rsidR="00C2645F" w:rsidRPr="008C71B1">
        <w:rPr>
          <w:color w:val="000000"/>
          <w:sz w:val="24"/>
          <w:lang w:val="en-SG"/>
        </w:rPr>
        <w:t xml:space="preserve"> </w:t>
      </w:r>
      <w:r w:rsidR="003F2929">
        <w:rPr>
          <w:color w:val="000000"/>
          <w:sz w:val="24"/>
          <w:lang w:val="en-SG"/>
        </w:rPr>
        <w:t xml:space="preserve">or </w:t>
      </w:r>
      <w:r w:rsidR="008C71B1" w:rsidRPr="008C71B1">
        <w:rPr>
          <w:color w:val="000000"/>
          <w:sz w:val="24"/>
          <w:lang w:val="en-SG"/>
        </w:rPr>
        <w:t xml:space="preserve">(b) the appellant may choose to receive the refund via </w:t>
      </w:r>
      <w:proofErr w:type="spellStart"/>
      <w:r w:rsidR="008C71B1" w:rsidRPr="008C71B1">
        <w:rPr>
          <w:color w:val="000000"/>
          <w:sz w:val="24"/>
          <w:lang w:val="en-SG"/>
        </w:rPr>
        <w:t>Paynow</w:t>
      </w:r>
      <w:proofErr w:type="spellEnd"/>
      <w:r w:rsidR="003F2929">
        <w:rPr>
          <w:color w:val="000000"/>
          <w:sz w:val="24"/>
          <w:lang w:val="en-SG"/>
        </w:rPr>
        <w:t xml:space="preserve"> </w:t>
      </w:r>
      <w:r w:rsidR="008C71B1" w:rsidRPr="008C71B1">
        <w:rPr>
          <w:color w:val="000000"/>
          <w:sz w:val="24"/>
          <w:lang w:val="en-SG"/>
        </w:rPr>
        <w:t>that is linked to the appellant’s NRIC</w:t>
      </w:r>
      <w:r w:rsidR="003F2929">
        <w:rPr>
          <w:color w:val="000000"/>
          <w:sz w:val="24"/>
          <w:lang w:val="en-SG"/>
        </w:rPr>
        <w:t xml:space="preserve"> or UEN on provision of requested details</w:t>
      </w:r>
      <w:r w:rsidR="008C71B1" w:rsidRPr="008C71B1">
        <w:rPr>
          <w:color w:val="000000"/>
          <w:sz w:val="24"/>
          <w:lang w:val="en-SG"/>
        </w:rPr>
        <w:t>.</w:t>
      </w:r>
      <w:r w:rsidR="003F2929">
        <w:rPr>
          <w:rStyle w:val="FootnoteReference"/>
          <w:color w:val="000000"/>
          <w:sz w:val="24"/>
          <w:lang w:val="en-SG"/>
        </w:rPr>
        <w:footnoteReference w:id="14"/>
      </w:r>
      <w:r w:rsidR="008C71B1" w:rsidRPr="008C71B1">
        <w:rPr>
          <w:color w:val="000000"/>
          <w:sz w:val="24"/>
          <w:lang w:val="en-SG"/>
        </w:rPr>
        <w:t xml:space="preserve"> </w:t>
      </w:r>
    </w:p>
    <w:p w14:paraId="0CBF9128" w14:textId="77777777" w:rsidR="00C2645F" w:rsidRPr="008C71B1" w:rsidRDefault="00C2645F" w:rsidP="007D4E33">
      <w:pPr>
        <w:pStyle w:val="ListParagraph"/>
        <w:rPr>
          <w:color w:val="000000"/>
          <w:sz w:val="24"/>
          <w:lang w:val="en-SG"/>
        </w:rPr>
      </w:pPr>
    </w:p>
    <w:p w14:paraId="2C306B12" w14:textId="77777777" w:rsidR="00C2645F" w:rsidRPr="00C2645F" w:rsidRDefault="00C2645F" w:rsidP="00C2645F">
      <w:pPr>
        <w:pStyle w:val="ListParagraph"/>
        <w:numPr>
          <w:ilvl w:val="0"/>
          <w:numId w:val="12"/>
        </w:numPr>
        <w:ind w:left="709" w:hanging="709"/>
        <w:jc w:val="both"/>
        <w:textAlignment w:val="baseline"/>
        <w:rPr>
          <w:color w:val="000000"/>
          <w:sz w:val="24"/>
          <w:lang w:val="en-SG"/>
        </w:rPr>
      </w:pPr>
      <w:r w:rsidRPr="00C2645F">
        <w:rPr>
          <w:b/>
          <w:color w:val="000000"/>
          <w:sz w:val="24"/>
          <w:lang w:val="en-SG"/>
        </w:rPr>
        <w:t>Withdrawal of Appeals</w:t>
      </w:r>
    </w:p>
    <w:p w14:paraId="58886C93" w14:textId="77777777" w:rsidR="00C2645F" w:rsidRPr="00C2645F" w:rsidRDefault="00C2645F" w:rsidP="00C2645F">
      <w:pPr>
        <w:pStyle w:val="ListParagraph"/>
        <w:ind w:left="709"/>
        <w:jc w:val="both"/>
        <w:textAlignment w:val="baseline"/>
        <w:rPr>
          <w:color w:val="000000"/>
          <w:sz w:val="24"/>
          <w:lang w:val="en-SG"/>
        </w:rPr>
      </w:pPr>
    </w:p>
    <w:p w14:paraId="04BA37D8" w14:textId="77777777" w:rsidR="00C2645F" w:rsidRPr="00C2645F" w:rsidRDefault="00C2645F" w:rsidP="00C2645F">
      <w:pPr>
        <w:pStyle w:val="ListParagraph"/>
        <w:numPr>
          <w:ilvl w:val="1"/>
          <w:numId w:val="12"/>
        </w:numPr>
        <w:jc w:val="both"/>
        <w:textAlignment w:val="baseline"/>
        <w:rPr>
          <w:color w:val="000000"/>
          <w:sz w:val="24"/>
          <w:lang w:val="en-SG"/>
        </w:rPr>
      </w:pPr>
      <w:r w:rsidRPr="00C2645F">
        <w:rPr>
          <w:color w:val="000000"/>
          <w:spacing w:val="-1"/>
          <w:sz w:val="24"/>
          <w:lang w:val="en-SG"/>
        </w:rPr>
        <w:t>You can withdraw your appeal at any time by writing to the Board</w:t>
      </w:r>
      <w:r w:rsidRPr="00C2645F">
        <w:rPr>
          <w:rFonts w:eastAsia="Times New Roman"/>
          <w:color w:val="000000"/>
          <w:spacing w:val="-1"/>
          <w:sz w:val="24"/>
          <w:lang w:val="en-SG"/>
        </w:rPr>
        <w:t>, and your application for withdrawal is subject to the Board’s consent and any conditions that may be imposed by the Board (e</w:t>
      </w:r>
      <w:r>
        <w:rPr>
          <w:rFonts w:eastAsia="Times New Roman"/>
          <w:color w:val="000000"/>
          <w:spacing w:val="-1"/>
          <w:sz w:val="24"/>
          <w:lang w:val="en-SG"/>
        </w:rPr>
        <w:t>.g.</w:t>
      </w:r>
      <w:r w:rsidRPr="00C2645F">
        <w:rPr>
          <w:rFonts w:eastAsia="Times New Roman"/>
          <w:color w:val="000000"/>
          <w:spacing w:val="-1"/>
          <w:sz w:val="24"/>
          <w:lang w:val="en-SG"/>
        </w:rPr>
        <w:t xml:space="preserve"> in relation to costs).</w:t>
      </w:r>
      <w:r w:rsidRPr="00C2645F">
        <w:rPr>
          <w:color w:val="000000"/>
          <w:spacing w:val="-1"/>
          <w:sz w:val="24"/>
          <w:lang w:val="en-SG"/>
        </w:rPr>
        <w:t xml:space="preserve"> If the CGST decides to concede the matter in dispute, the CGST will write to both the Board and you.</w:t>
      </w:r>
    </w:p>
    <w:p w14:paraId="76FD1748" w14:textId="77777777" w:rsidR="00C2645F" w:rsidRPr="00C2645F" w:rsidRDefault="00C2645F" w:rsidP="00C2645F">
      <w:pPr>
        <w:pStyle w:val="ListParagraph"/>
        <w:ind w:left="705"/>
        <w:jc w:val="both"/>
        <w:textAlignment w:val="baseline"/>
        <w:rPr>
          <w:color w:val="000000"/>
          <w:sz w:val="24"/>
          <w:lang w:val="en-SG"/>
        </w:rPr>
      </w:pPr>
    </w:p>
    <w:p w14:paraId="66731FBD" w14:textId="77777777" w:rsidR="00C2645F" w:rsidRPr="00C2645F" w:rsidRDefault="00C2645F" w:rsidP="00C2645F">
      <w:pPr>
        <w:pStyle w:val="ListParagraph"/>
        <w:numPr>
          <w:ilvl w:val="0"/>
          <w:numId w:val="12"/>
        </w:numPr>
        <w:ind w:left="709" w:hanging="709"/>
        <w:jc w:val="both"/>
        <w:textAlignment w:val="baseline"/>
        <w:rPr>
          <w:color w:val="000000"/>
          <w:sz w:val="24"/>
          <w:lang w:val="en-SG"/>
        </w:rPr>
      </w:pPr>
      <w:r w:rsidRPr="00C2645F">
        <w:rPr>
          <w:b/>
          <w:color w:val="000000"/>
          <w:sz w:val="24"/>
          <w:lang w:val="en-SG"/>
        </w:rPr>
        <w:t>Appeal to the High Court</w:t>
      </w:r>
    </w:p>
    <w:p w14:paraId="699575CA" w14:textId="77777777" w:rsidR="00C2645F" w:rsidRDefault="00C2645F" w:rsidP="00C2645F">
      <w:pPr>
        <w:pStyle w:val="ListParagraph"/>
        <w:ind w:left="705"/>
        <w:jc w:val="both"/>
        <w:textAlignment w:val="baseline"/>
        <w:rPr>
          <w:color w:val="000000"/>
          <w:sz w:val="24"/>
          <w:lang w:val="en-SG"/>
        </w:rPr>
      </w:pPr>
    </w:p>
    <w:p w14:paraId="25D4C84F" w14:textId="77777777" w:rsidR="00C2645F" w:rsidRDefault="00C2645F" w:rsidP="00C2645F">
      <w:pPr>
        <w:pStyle w:val="ListParagraph"/>
        <w:numPr>
          <w:ilvl w:val="1"/>
          <w:numId w:val="12"/>
        </w:numPr>
        <w:jc w:val="both"/>
        <w:textAlignment w:val="baseline"/>
        <w:rPr>
          <w:color w:val="000000"/>
          <w:sz w:val="24"/>
          <w:lang w:val="en-SG"/>
        </w:rPr>
      </w:pPr>
      <w:r>
        <w:rPr>
          <w:noProof/>
          <w:lang w:val="en-SG"/>
        </w:rPr>
        <mc:AlternateContent>
          <mc:Choice Requires="wps">
            <w:drawing>
              <wp:anchor distT="0" distB="0" distL="114300" distR="114300" simplePos="0" relativeHeight="251657216" behindDoc="0" locked="0" layoutInCell="1" allowOverlap="1" wp14:anchorId="20B39A35" wp14:editId="252FAF4F">
                <wp:simplePos x="0" y="0"/>
                <wp:positionH relativeFrom="page">
                  <wp:posOffset>902970</wp:posOffset>
                </wp:positionH>
                <wp:positionV relativeFrom="page">
                  <wp:posOffset>9834880</wp:posOffset>
                </wp:positionV>
                <wp:extent cx="1844040" cy="0"/>
                <wp:effectExtent l="7620" t="5080" r="5715" b="1397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404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7D1B7"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1.1pt,774.4pt" to="216.3pt,7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" strokeweight=".7pt">
                <w10:wrap anchorx="page" anchory="page"/>
              </v:line>
            </w:pict>
          </mc:Fallback>
        </mc:AlternateContent>
      </w:r>
      <w:r w:rsidRPr="00C2645F">
        <w:rPr>
          <w:color w:val="000000"/>
          <w:sz w:val="24"/>
          <w:lang w:val="en-SG"/>
        </w:rPr>
        <w:t>You or the CGST may appeal to the High Court against the Board’s decision only if the issue involves a question of law or a question of mixed law and fact and the tax payable or any amount due to the appellant exceeds $500</w:t>
      </w:r>
      <w:r>
        <w:rPr>
          <w:rStyle w:val="FootnoteReference"/>
          <w:color w:val="000000"/>
          <w:sz w:val="24"/>
          <w:lang w:val="en-SG"/>
        </w:rPr>
        <w:footnoteReference w:id="15"/>
      </w:r>
      <w:r w:rsidRPr="00C2645F">
        <w:rPr>
          <w:color w:val="000000"/>
          <w:sz w:val="24"/>
          <w:lang w:val="en-SG"/>
        </w:rPr>
        <w:t>.</w:t>
      </w:r>
    </w:p>
    <w:p w14:paraId="6F155730" w14:textId="77777777" w:rsidR="00C2645F" w:rsidRDefault="00C2645F" w:rsidP="00C2645F">
      <w:pPr>
        <w:pStyle w:val="ListParagraph"/>
        <w:ind w:left="705"/>
        <w:jc w:val="both"/>
        <w:textAlignment w:val="baseline"/>
        <w:rPr>
          <w:color w:val="000000"/>
          <w:sz w:val="24"/>
          <w:lang w:val="en-SG"/>
        </w:rPr>
      </w:pPr>
    </w:p>
    <w:p w14:paraId="20BEBA22" w14:textId="77777777" w:rsidR="00C2645F" w:rsidRPr="00C2645F" w:rsidRDefault="00C2645F" w:rsidP="00C2645F">
      <w:pPr>
        <w:pStyle w:val="ListParagraph"/>
        <w:numPr>
          <w:ilvl w:val="0"/>
          <w:numId w:val="12"/>
        </w:numPr>
        <w:ind w:left="709" w:hanging="709"/>
        <w:jc w:val="both"/>
        <w:textAlignment w:val="baseline"/>
        <w:rPr>
          <w:color w:val="000000"/>
          <w:sz w:val="24"/>
          <w:lang w:val="en-SG"/>
        </w:rPr>
      </w:pPr>
      <w:r w:rsidRPr="00C2645F">
        <w:rPr>
          <w:b/>
          <w:color w:val="000000"/>
          <w:sz w:val="24"/>
          <w:lang w:val="en-SG"/>
        </w:rPr>
        <w:t>Contact Information</w:t>
      </w:r>
    </w:p>
    <w:p w14:paraId="4FF78131" w14:textId="77777777" w:rsidR="00C2645F" w:rsidRDefault="00C2645F" w:rsidP="00C2645F">
      <w:pPr>
        <w:pStyle w:val="ListParagraph"/>
        <w:ind w:left="705"/>
        <w:jc w:val="both"/>
        <w:textAlignment w:val="baseline"/>
        <w:rPr>
          <w:color w:val="000000"/>
          <w:sz w:val="24"/>
          <w:lang w:val="en-SG"/>
        </w:rPr>
      </w:pPr>
    </w:p>
    <w:p w14:paraId="652422A5" w14:textId="5CEEC9D4" w:rsidR="00C2645F" w:rsidRDefault="00C2645F" w:rsidP="00C2645F">
      <w:pPr>
        <w:pStyle w:val="ListParagraph"/>
        <w:numPr>
          <w:ilvl w:val="1"/>
          <w:numId w:val="12"/>
        </w:numPr>
        <w:jc w:val="both"/>
        <w:textAlignment w:val="baseline"/>
        <w:rPr>
          <w:color w:val="000000"/>
          <w:sz w:val="24"/>
          <w:lang w:val="en-SG"/>
        </w:rPr>
      </w:pPr>
      <w:r w:rsidRPr="00C2645F">
        <w:rPr>
          <w:color w:val="000000"/>
          <w:sz w:val="24"/>
          <w:lang w:val="en-SG"/>
        </w:rPr>
        <w:t xml:space="preserve">If you have any enquiries or need clarification on this guide, please contact us at the Goods and Services Tax Board of Review at DID: 6332 </w:t>
      </w:r>
      <w:r w:rsidR="00505371">
        <w:rPr>
          <w:color w:val="000000"/>
          <w:sz w:val="24"/>
          <w:lang w:val="en-SG"/>
        </w:rPr>
        <w:t>8548</w:t>
      </w:r>
      <w:r w:rsidR="00315421">
        <w:rPr>
          <w:color w:val="000000"/>
          <w:sz w:val="24"/>
          <w:lang w:val="en-SG"/>
        </w:rPr>
        <w:t>/ 6332 0226</w:t>
      </w:r>
      <w:r w:rsidRPr="00C2645F">
        <w:rPr>
          <w:color w:val="000000"/>
          <w:sz w:val="24"/>
          <w:lang w:val="en-SG"/>
        </w:rPr>
        <w:t xml:space="preserve"> or email us </w:t>
      </w:r>
      <w:r>
        <w:rPr>
          <w:color w:val="000000"/>
          <w:sz w:val="24"/>
          <w:lang w:val="en-SG"/>
        </w:rPr>
        <w:t xml:space="preserve">at </w:t>
      </w:r>
      <w:hyperlink r:id="rId11">
        <w:r w:rsidRPr="00C2645F">
          <w:rPr>
            <w:color w:val="0000FF"/>
            <w:sz w:val="24"/>
            <w:u w:val="single"/>
            <w:lang w:val="en-SG"/>
          </w:rPr>
          <w:t>gstbr@mof.gov.sg.</w:t>
        </w:r>
      </w:hyperlink>
      <w:r w:rsidRPr="00C2645F">
        <w:rPr>
          <w:color w:val="000000"/>
          <w:sz w:val="24"/>
          <w:lang w:val="en-SG"/>
        </w:rPr>
        <w:t xml:space="preserve"> </w:t>
      </w:r>
    </w:p>
    <w:p w14:paraId="3651F8B9" w14:textId="77777777" w:rsidR="00C2645F" w:rsidRDefault="00C2645F" w:rsidP="00C2645F">
      <w:pPr>
        <w:pStyle w:val="ListParagraph"/>
        <w:ind w:left="705"/>
        <w:jc w:val="both"/>
        <w:textAlignment w:val="baseline"/>
        <w:rPr>
          <w:color w:val="000000"/>
          <w:sz w:val="24"/>
          <w:lang w:val="en-SG"/>
        </w:rPr>
      </w:pPr>
    </w:p>
    <w:p w14:paraId="01BF9073" w14:textId="77777777" w:rsidR="00C2645F" w:rsidRPr="00C2645F" w:rsidRDefault="00C2645F" w:rsidP="00C2645F">
      <w:pPr>
        <w:pStyle w:val="ListParagraph"/>
        <w:numPr>
          <w:ilvl w:val="0"/>
          <w:numId w:val="12"/>
        </w:numPr>
        <w:ind w:left="709" w:hanging="709"/>
        <w:jc w:val="both"/>
        <w:textAlignment w:val="baseline"/>
        <w:rPr>
          <w:color w:val="000000"/>
          <w:sz w:val="24"/>
          <w:lang w:val="en-SG"/>
        </w:rPr>
      </w:pPr>
      <w:r w:rsidRPr="00C2645F">
        <w:rPr>
          <w:b/>
          <w:color w:val="000000"/>
          <w:sz w:val="24"/>
          <w:lang w:val="en-SG"/>
        </w:rPr>
        <w:t>Frequently Asked Questions</w:t>
      </w:r>
    </w:p>
    <w:p w14:paraId="2D154AF2" w14:textId="77777777" w:rsidR="00C2645F" w:rsidRPr="00C2645F" w:rsidRDefault="00C2645F" w:rsidP="00C2645F">
      <w:pPr>
        <w:pStyle w:val="ListParagraph"/>
        <w:ind w:left="360"/>
        <w:jc w:val="both"/>
        <w:textAlignment w:val="baseline"/>
        <w:rPr>
          <w:color w:val="000000"/>
          <w:sz w:val="24"/>
          <w:lang w:val="en-SG"/>
        </w:rPr>
      </w:pPr>
    </w:p>
    <w:p w14:paraId="24E8DE1D" w14:textId="77777777" w:rsidR="00C2645F" w:rsidRDefault="00C2645F" w:rsidP="00C2645F">
      <w:pPr>
        <w:numPr>
          <w:ilvl w:val="0"/>
          <w:numId w:val="9"/>
        </w:numPr>
        <w:ind w:left="720" w:hanging="720"/>
        <w:jc w:val="both"/>
        <w:textAlignment w:val="baseline"/>
        <w:rPr>
          <w:i/>
          <w:color w:val="000000"/>
          <w:sz w:val="24"/>
          <w:lang w:val="en-SG"/>
        </w:rPr>
      </w:pPr>
      <w:r w:rsidRPr="00953EA4">
        <w:rPr>
          <w:i/>
          <w:color w:val="000000"/>
          <w:sz w:val="24"/>
          <w:lang w:val="en-SG"/>
        </w:rPr>
        <w:t>How long will the appeal process take?</w:t>
      </w:r>
    </w:p>
    <w:p w14:paraId="149DD1DC" w14:textId="77777777" w:rsidR="00C2645F" w:rsidRPr="00953EA4" w:rsidRDefault="00C2645F" w:rsidP="00C2645F">
      <w:pPr>
        <w:tabs>
          <w:tab w:val="left" w:pos="720"/>
        </w:tabs>
        <w:ind w:left="720"/>
        <w:jc w:val="both"/>
        <w:textAlignment w:val="baseline"/>
        <w:rPr>
          <w:i/>
          <w:color w:val="000000"/>
          <w:sz w:val="24"/>
          <w:lang w:val="en-SG"/>
        </w:rPr>
      </w:pPr>
    </w:p>
    <w:p w14:paraId="058897CD" w14:textId="77777777" w:rsidR="00C2645F" w:rsidRDefault="00C2645F" w:rsidP="00C2645F">
      <w:pPr>
        <w:ind w:left="720"/>
        <w:jc w:val="both"/>
        <w:textAlignment w:val="baseline"/>
        <w:rPr>
          <w:color w:val="000000"/>
          <w:sz w:val="24"/>
          <w:lang w:val="en-SG"/>
        </w:rPr>
      </w:pPr>
      <w:r w:rsidRPr="00953EA4">
        <w:rPr>
          <w:color w:val="000000"/>
          <w:sz w:val="24"/>
          <w:lang w:val="en-SG"/>
        </w:rPr>
        <w:t xml:space="preserve">The time taken for each appeal varies, as it depends on whether the CGST and the appellant </w:t>
      </w:r>
      <w:proofErr w:type="gramStart"/>
      <w:r w:rsidRPr="00953EA4">
        <w:rPr>
          <w:color w:val="000000"/>
          <w:sz w:val="24"/>
          <w:lang w:val="en-SG"/>
        </w:rPr>
        <w:t>are able to</w:t>
      </w:r>
      <w:proofErr w:type="gramEnd"/>
      <w:r w:rsidRPr="00953EA4">
        <w:rPr>
          <w:color w:val="000000"/>
          <w:sz w:val="24"/>
          <w:lang w:val="en-SG"/>
        </w:rPr>
        <w:t xml:space="preserve"> settle the issue amicably at the </w:t>
      </w:r>
      <w:r>
        <w:rPr>
          <w:color w:val="000000"/>
          <w:sz w:val="24"/>
          <w:lang w:val="en-SG"/>
        </w:rPr>
        <w:t>CMC</w:t>
      </w:r>
      <w:r w:rsidRPr="001F334E">
        <w:rPr>
          <w:color w:val="000000"/>
          <w:sz w:val="24"/>
          <w:lang w:val="en-SG"/>
        </w:rPr>
        <w:t xml:space="preserve"> stage or they need to proceed to hearing.</w:t>
      </w:r>
    </w:p>
    <w:p w14:paraId="643453C2" w14:textId="77777777" w:rsidR="00C2645F" w:rsidRPr="001F334E" w:rsidRDefault="00C2645F" w:rsidP="00C2645F">
      <w:pPr>
        <w:ind w:left="720"/>
        <w:jc w:val="both"/>
        <w:textAlignment w:val="baseline"/>
        <w:rPr>
          <w:color w:val="000000"/>
          <w:sz w:val="24"/>
          <w:lang w:val="en-SG"/>
        </w:rPr>
      </w:pPr>
    </w:p>
    <w:p w14:paraId="467E33D6" w14:textId="77777777" w:rsidR="00C2645F" w:rsidRPr="001F334E" w:rsidRDefault="00C2645F" w:rsidP="00C2645F">
      <w:pPr>
        <w:numPr>
          <w:ilvl w:val="0"/>
          <w:numId w:val="9"/>
        </w:numPr>
        <w:ind w:left="720" w:hanging="720"/>
        <w:jc w:val="both"/>
        <w:textAlignment w:val="baseline"/>
        <w:rPr>
          <w:i/>
          <w:color w:val="000000"/>
          <w:sz w:val="24"/>
          <w:lang w:val="en-SG"/>
        </w:rPr>
      </w:pPr>
      <w:r w:rsidRPr="001F334E">
        <w:rPr>
          <w:i/>
          <w:color w:val="000000"/>
          <w:sz w:val="24"/>
          <w:lang w:val="en-SG"/>
        </w:rPr>
        <w:t>Is it necessary to engage a legal counsel?</w:t>
      </w:r>
    </w:p>
    <w:p w14:paraId="729763F8" w14:textId="77777777" w:rsidR="00C2645F" w:rsidRDefault="00C2645F" w:rsidP="00C2645F">
      <w:pPr>
        <w:ind w:left="720"/>
        <w:jc w:val="both"/>
        <w:textAlignment w:val="baseline"/>
        <w:rPr>
          <w:color w:val="000000"/>
          <w:spacing w:val="-2"/>
          <w:sz w:val="24"/>
          <w:lang w:val="en-SG"/>
        </w:rPr>
      </w:pPr>
    </w:p>
    <w:p w14:paraId="34E30905" w14:textId="77777777" w:rsidR="00C2645F" w:rsidRDefault="00C2645F" w:rsidP="00C2645F">
      <w:pPr>
        <w:ind w:left="720"/>
        <w:jc w:val="both"/>
        <w:textAlignment w:val="baseline"/>
        <w:rPr>
          <w:color w:val="000000"/>
          <w:spacing w:val="-2"/>
          <w:sz w:val="24"/>
          <w:lang w:val="en-SG"/>
        </w:rPr>
      </w:pPr>
      <w:r w:rsidRPr="001F334E">
        <w:rPr>
          <w:color w:val="000000"/>
          <w:spacing w:val="-2"/>
          <w:sz w:val="24"/>
          <w:lang w:val="en-SG"/>
        </w:rPr>
        <w:t xml:space="preserve">It is not a requirement to engage a legal counsel. You may represent yourself. However, at any time before the commencement of the hearing, you may engage a counsel if you </w:t>
      </w:r>
      <w:r w:rsidRPr="001F334E">
        <w:rPr>
          <w:color w:val="000000"/>
          <w:spacing w:val="-2"/>
          <w:sz w:val="24"/>
          <w:lang w:val="en-SG"/>
        </w:rPr>
        <w:lastRenderedPageBreak/>
        <w:t>wish to do so. As these appeals typically involve statutory interpretation of the Goods and Services Tax Act with reference to past judicial precedents and the application of the law to the facts, representation from counsel may be helpful.</w:t>
      </w:r>
    </w:p>
    <w:p w14:paraId="04DDDC43" w14:textId="77777777" w:rsidR="00C2645F" w:rsidRPr="001F334E" w:rsidRDefault="00C2645F" w:rsidP="00C2645F">
      <w:pPr>
        <w:ind w:left="720"/>
        <w:jc w:val="both"/>
        <w:textAlignment w:val="baseline"/>
        <w:rPr>
          <w:color w:val="000000"/>
          <w:spacing w:val="-2"/>
          <w:sz w:val="24"/>
          <w:lang w:val="en-SG"/>
        </w:rPr>
      </w:pPr>
    </w:p>
    <w:p w14:paraId="4E57A8D7" w14:textId="77777777" w:rsidR="00C2645F" w:rsidRPr="001F334E" w:rsidRDefault="00C2645F" w:rsidP="00C2645F">
      <w:pPr>
        <w:numPr>
          <w:ilvl w:val="0"/>
          <w:numId w:val="9"/>
        </w:numPr>
        <w:ind w:left="720" w:hanging="720"/>
        <w:jc w:val="both"/>
        <w:textAlignment w:val="baseline"/>
        <w:rPr>
          <w:i/>
          <w:color w:val="000000"/>
          <w:sz w:val="24"/>
          <w:lang w:val="en-SG"/>
        </w:rPr>
      </w:pPr>
      <w:r w:rsidRPr="001F334E">
        <w:rPr>
          <w:i/>
          <w:color w:val="000000"/>
          <w:sz w:val="24"/>
          <w:lang w:val="en-SG"/>
        </w:rPr>
        <w:t>How long will the hearing take?</w:t>
      </w:r>
    </w:p>
    <w:p w14:paraId="13F52A48" w14:textId="77777777" w:rsidR="00C2645F" w:rsidRDefault="00C2645F" w:rsidP="00C2645F">
      <w:pPr>
        <w:ind w:left="720"/>
        <w:jc w:val="both"/>
        <w:textAlignment w:val="baseline"/>
        <w:rPr>
          <w:color w:val="000000"/>
          <w:spacing w:val="-1"/>
          <w:sz w:val="24"/>
          <w:lang w:val="en-SG"/>
        </w:rPr>
      </w:pPr>
    </w:p>
    <w:p w14:paraId="3F63CE65" w14:textId="0FB9B304" w:rsidR="00C2645F" w:rsidRPr="00953EA4" w:rsidRDefault="00C2645F" w:rsidP="00C2645F">
      <w:pPr>
        <w:ind w:left="720"/>
        <w:jc w:val="both"/>
        <w:textAlignment w:val="baseline"/>
        <w:rPr>
          <w:color w:val="000000"/>
          <w:spacing w:val="-1"/>
          <w:sz w:val="24"/>
          <w:lang w:val="en-SG"/>
        </w:rPr>
      </w:pPr>
      <w:r w:rsidRPr="001F334E">
        <w:rPr>
          <w:color w:val="000000"/>
          <w:spacing w:val="-1"/>
          <w:sz w:val="24"/>
          <w:lang w:val="en-SG"/>
        </w:rPr>
        <w:t xml:space="preserve">It depends on the complexity of the appeal; it may vary from </w:t>
      </w:r>
      <w:r w:rsidR="00E0454F">
        <w:rPr>
          <w:color w:val="000000"/>
          <w:spacing w:val="-1"/>
          <w:sz w:val="24"/>
          <w:lang w:val="en-SG"/>
        </w:rPr>
        <w:t>1</w:t>
      </w:r>
      <w:r w:rsidRPr="001F334E">
        <w:rPr>
          <w:color w:val="000000"/>
          <w:spacing w:val="-1"/>
          <w:sz w:val="24"/>
          <w:lang w:val="en-SG"/>
        </w:rPr>
        <w:t xml:space="preserve"> to </w:t>
      </w:r>
      <w:r w:rsidR="00E0454F">
        <w:rPr>
          <w:color w:val="000000"/>
          <w:spacing w:val="-1"/>
          <w:sz w:val="24"/>
          <w:lang w:val="en-SG"/>
        </w:rPr>
        <w:t>3</w:t>
      </w:r>
      <w:r w:rsidRPr="001F334E">
        <w:rPr>
          <w:color w:val="000000"/>
          <w:spacing w:val="-1"/>
          <w:sz w:val="24"/>
          <w:lang w:val="en-SG"/>
        </w:rPr>
        <w:t xml:space="preserve"> days</w:t>
      </w:r>
      <w:r w:rsidRPr="00BF2B37">
        <w:rPr>
          <w:rFonts w:eastAsia="Times New Roman"/>
          <w:color w:val="000000"/>
          <w:spacing w:val="-1"/>
          <w:sz w:val="24"/>
          <w:lang w:val="en-SG"/>
        </w:rPr>
        <w:t>, or longer if necessary</w:t>
      </w:r>
      <w:r w:rsidRPr="00953EA4">
        <w:rPr>
          <w:color w:val="000000"/>
          <w:spacing w:val="-1"/>
          <w:sz w:val="24"/>
          <w:lang w:val="en-SG"/>
        </w:rPr>
        <w:t>.</w:t>
      </w:r>
    </w:p>
    <w:p w14:paraId="72F1C20B" w14:textId="77777777" w:rsidR="00C2645F" w:rsidRDefault="00C2645F" w:rsidP="00C2645F">
      <w:pPr>
        <w:tabs>
          <w:tab w:val="left" w:pos="720"/>
        </w:tabs>
        <w:ind w:left="720"/>
        <w:jc w:val="both"/>
        <w:textAlignment w:val="baseline"/>
        <w:rPr>
          <w:i/>
          <w:color w:val="000000"/>
          <w:sz w:val="24"/>
          <w:lang w:val="en-SG"/>
        </w:rPr>
      </w:pPr>
    </w:p>
    <w:p w14:paraId="3FAE1988" w14:textId="77777777" w:rsidR="00C2645F" w:rsidRPr="001F334E" w:rsidRDefault="00C2645F" w:rsidP="00C2645F">
      <w:pPr>
        <w:numPr>
          <w:ilvl w:val="0"/>
          <w:numId w:val="9"/>
        </w:numPr>
        <w:ind w:left="720" w:hanging="720"/>
        <w:jc w:val="both"/>
        <w:textAlignment w:val="baseline"/>
        <w:rPr>
          <w:i/>
          <w:color w:val="000000"/>
          <w:sz w:val="24"/>
          <w:lang w:val="en-SG"/>
        </w:rPr>
      </w:pPr>
      <w:r w:rsidRPr="00953EA4">
        <w:rPr>
          <w:i/>
          <w:color w:val="000000"/>
          <w:sz w:val="24"/>
          <w:lang w:val="en-SG"/>
        </w:rPr>
        <w:t xml:space="preserve">How do I request for an extension of deadline to file the notice of appeal/petition of appeal/hearing submissions and/or adjournment of </w:t>
      </w:r>
      <w:r>
        <w:rPr>
          <w:i/>
          <w:color w:val="000000"/>
          <w:sz w:val="24"/>
          <w:lang w:val="en-SG"/>
        </w:rPr>
        <w:t>CMC</w:t>
      </w:r>
      <w:r w:rsidRPr="001F334E">
        <w:rPr>
          <w:i/>
          <w:color w:val="000000"/>
          <w:sz w:val="24"/>
          <w:lang w:val="en-SG"/>
        </w:rPr>
        <w:t>/hearing dates?</w:t>
      </w:r>
    </w:p>
    <w:p w14:paraId="151641DD" w14:textId="77777777" w:rsidR="00C2645F" w:rsidRDefault="00C2645F" w:rsidP="00C2645F">
      <w:pPr>
        <w:ind w:left="720"/>
        <w:jc w:val="both"/>
        <w:textAlignment w:val="baseline"/>
        <w:rPr>
          <w:color w:val="000000"/>
          <w:sz w:val="24"/>
          <w:lang w:val="en-SG"/>
        </w:rPr>
      </w:pPr>
    </w:p>
    <w:p w14:paraId="11E96B64" w14:textId="621548D6" w:rsidR="00C2645F" w:rsidRPr="00953EA4" w:rsidRDefault="00C2645F" w:rsidP="00C2645F">
      <w:pPr>
        <w:ind w:left="720"/>
        <w:jc w:val="both"/>
        <w:textAlignment w:val="baseline"/>
        <w:rPr>
          <w:color w:val="000000"/>
          <w:sz w:val="24"/>
          <w:lang w:val="en-SG"/>
        </w:rPr>
      </w:pPr>
      <w:r w:rsidRPr="001F334E">
        <w:rPr>
          <w:color w:val="000000"/>
          <w:sz w:val="24"/>
          <w:lang w:val="en-SG"/>
        </w:rPr>
        <w:t xml:space="preserve">You may write in to request an extension of deadline to file the notice of appeal/petition of appeal/hearing submissions and/or adjournment of </w:t>
      </w:r>
      <w:r>
        <w:rPr>
          <w:color w:val="000000"/>
          <w:sz w:val="24"/>
          <w:lang w:val="en-SG"/>
        </w:rPr>
        <w:t>CMC</w:t>
      </w:r>
      <w:r w:rsidRPr="001F334E">
        <w:rPr>
          <w:color w:val="000000"/>
          <w:sz w:val="24"/>
          <w:lang w:val="en-SG"/>
        </w:rPr>
        <w:t xml:space="preserve">/hearing dates. </w:t>
      </w:r>
      <w:r w:rsidRPr="00BF2B37">
        <w:rPr>
          <w:rFonts w:eastAsia="Times New Roman"/>
          <w:color w:val="000000"/>
          <w:sz w:val="24"/>
          <w:lang w:val="en-SG"/>
        </w:rPr>
        <w:t>Subject to the directions of the Chairperson or Deputy Chairperson, the</w:t>
      </w:r>
      <w:r w:rsidRPr="00953EA4">
        <w:rPr>
          <w:color w:val="000000"/>
          <w:sz w:val="24"/>
          <w:lang w:val="en-SG"/>
        </w:rPr>
        <w:t xml:space="preserve"> request should be submitted in writing at least </w:t>
      </w:r>
      <w:r w:rsidR="00E0454F">
        <w:rPr>
          <w:color w:val="000000"/>
          <w:sz w:val="24"/>
          <w:lang w:val="en-SG"/>
        </w:rPr>
        <w:t xml:space="preserve">1 </w:t>
      </w:r>
      <w:r w:rsidRPr="00953EA4">
        <w:rPr>
          <w:color w:val="000000"/>
          <w:sz w:val="24"/>
          <w:lang w:val="en-SG"/>
        </w:rPr>
        <w:t xml:space="preserve">week in advance of the given deadline and will be considered on a case-by case basis and the Chairperson </w:t>
      </w:r>
      <w:r w:rsidRPr="00BF2B37">
        <w:rPr>
          <w:rFonts w:eastAsia="Times New Roman"/>
          <w:color w:val="000000"/>
          <w:sz w:val="24"/>
          <w:lang w:val="en-SG"/>
        </w:rPr>
        <w:t xml:space="preserve">or Deputy Chairperson </w:t>
      </w:r>
      <w:r w:rsidRPr="00953EA4">
        <w:rPr>
          <w:color w:val="000000"/>
          <w:sz w:val="24"/>
          <w:lang w:val="en-SG"/>
        </w:rPr>
        <w:t>will decide whether to approve the request.</w:t>
      </w:r>
    </w:p>
    <w:p w14:paraId="42C9A655" w14:textId="77777777" w:rsidR="00C2645F" w:rsidRDefault="00C2645F" w:rsidP="00C2645F">
      <w:pPr>
        <w:ind w:left="720"/>
        <w:jc w:val="both"/>
        <w:textAlignment w:val="baseline"/>
        <w:rPr>
          <w:color w:val="000000"/>
          <w:sz w:val="24"/>
          <w:lang w:val="en-SG"/>
        </w:rPr>
      </w:pPr>
    </w:p>
    <w:p w14:paraId="4CFEDDE6" w14:textId="0E1F3340" w:rsidR="00C2645F" w:rsidRDefault="00C2645F" w:rsidP="00C2645F">
      <w:pPr>
        <w:ind w:left="720"/>
        <w:jc w:val="both"/>
        <w:textAlignment w:val="baseline"/>
        <w:rPr>
          <w:color w:val="000000"/>
          <w:sz w:val="24"/>
          <w:lang w:val="en-SG"/>
        </w:rPr>
      </w:pPr>
      <w:r w:rsidRPr="00953EA4">
        <w:rPr>
          <w:color w:val="000000"/>
          <w:sz w:val="24"/>
          <w:lang w:val="en-SG"/>
        </w:rPr>
        <w:t xml:space="preserve">Any party, who requires an extension of time for the submission of forms/documents and/or an adjournment of </w:t>
      </w:r>
      <w:r>
        <w:rPr>
          <w:color w:val="000000"/>
          <w:sz w:val="24"/>
          <w:lang w:val="en-SG"/>
        </w:rPr>
        <w:t>CMC</w:t>
      </w:r>
      <w:r w:rsidRPr="00AB59B0">
        <w:rPr>
          <w:color w:val="000000"/>
          <w:sz w:val="24"/>
          <w:lang w:val="en-SG"/>
        </w:rPr>
        <w:t>/hearing dates, is to seek the consent of the other party to the appeal. Unilateral requests made without first seeking the consent or views of the other party to the appeal will not be acceded to, except in the most exceptional circumstances. The applicant should state the reason for the request as well as the position of the other party on such extension. If the consent of all parties to the appeal is obtained, the request should state that all parties have consented to the request for</w:t>
      </w:r>
      <w:r>
        <w:rPr>
          <w:rFonts w:eastAsia="Times New Roman"/>
          <w:color w:val="000000"/>
          <w:sz w:val="24"/>
          <w:lang w:val="en-SG"/>
        </w:rPr>
        <w:t xml:space="preserve"> </w:t>
      </w:r>
      <w:r w:rsidRPr="00953EA4">
        <w:rPr>
          <w:color w:val="000000"/>
          <w:sz w:val="24"/>
          <w:lang w:val="en-SG"/>
        </w:rPr>
        <w:t xml:space="preserve">extension of time. However, this does not mean that the request will be granted as a matter of course. </w:t>
      </w:r>
      <w:r w:rsidR="005B2DE0">
        <w:rPr>
          <w:color w:val="000000"/>
          <w:sz w:val="24"/>
          <w:lang w:val="en-SG"/>
        </w:rPr>
        <w:t>T</w:t>
      </w:r>
      <w:r w:rsidRPr="00953EA4">
        <w:rPr>
          <w:color w:val="000000"/>
          <w:sz w:val="24"/>
          <w:lang w:val="en-SG"/>
        </w:rPr>
        <w:t>he Board retains its discretion whether to grant such extension of time.</w:t>
      </w:r>
    </w:p>
    <w:p w14:paraId="6893A448" w14:textId="77777777" w:rsidR="00C2645F" w:rsidRPr="00953EA4" w:rsidRDefault="00C2645F" w:rsidP="00C2645F">
      <w:pPr>
        <w:ind w:left="720"/>
        <w:jc w:val="both"/>
        <w:textAlignment w:val="baseline"/>
        <w:rPr>
          <w:color w:val="000000"/>
          <w:sz w:val="24"/>
          <w:lang w:val="en-SG"/>
        </w:rPr>
      </w:pPr>
    </w:p>
    <w:p w14:paraId="0312554C" w14:textId="77777777" w:rsidR="00C2645F" w:rsidRDefault="00C2645F" w:rsidP="00C2645F">
      <w:pPr>
        <w:tabs>
          <w:tab w:val="left" w:pos="720"/>
        </w:tabs>
        <w:ind w:left="720" w:right="432" w:hanging="720"/>
        <w:jc w:val="both"/>
        <w:textAlignment w:val="baseline"/>
        <w:rPr>
          <w:i/>
          <w:color w:val="000000"/>
          <w:sz w:val="24"/>
          <w:lang w:val="en-SG"/>
        </w:rPr>
      </w:pPr>
      <w:r w:rsidRPr="00953EA4">
        <w:rPr>
          <w:i/>
          <w:color w:val="000000"/>
          <w:sz w:val="24"/>
          <w:lang w:val="en-SG"/>
        </w:rPr>
        <w:t>(</w:t>
      </w:r>
      <w:r w:rsidRPr="00BF2B37">
        <w:rPr>
          <w:rFonts w:eastAsia="Times New Roman"/>
          <w:i/>
          <w:color w:val="000000"/>
          <w:sz w:val="24"/>
          <w:lang w:val="en-SG"/>
        </w:rPr>
        <w:t>v</w:t>
      </w:r>
      <w:r w:rsidRPr="00953EA4">
        <w:rPr>
          <w:i/>
          <w:color w:val="000000"/>
          <w:sz w:val="24"/>
          <w:lang w:val="en-SG"/>
        </w:rPr>
        <w:t>)</w:t>
      </w:r>
      <w:r w:rsidRPr="00953EA4">
        <w:rPr>
          <w:i/>
          <w:color w:val="000000"/>
          <w:sz w:val="24"/>
          <w:lang w:val="en-SG"/>
        </w:rPr>
        <w:tab/>
        <w:t xml:space="preserve">Why is there a need to submit a Petition of Appeal and Affidavit separately? </w:t>
      </w:r>
    </w:p>
    <w:p w14:paraId="715EF0BD" w14:textId="77777777" w:rsidR="00C2645F" w:rsidRDefault="00C2645F" w:rsidP="00C2645F">
      <w:pPr>
        <w:tabs>
          <w:tab w:val="left" w:pos="720"/>
        </w:tabs>
        <w:ind w:left="720" w:right="432" w:hanging="720"/>
        <w:jc w:val="both"/>
        <w:textAlignment w:val="baseline"/>
        <w:rPr>
          <w:color w:val="000000"/>
          <w:sz w:val="24"/>
          <w:lang w:val="en-SG"/>
        </w:rPr>
      </w:pPr>
    </w:p>
    <w:p w14:paraId="62468257" w14:textId="77777777" w:rsidR="00C2645F" w:rsidRPr="00953EA4" w:rsidRDefault="00C2645F" w:rsidP="00C2645F">
      <w:pPr>
        <w:tabs>
          <w:tab w:val="left" w:pos="720"/>
        </w:tabs>
        <w:ind w:left="720" w:right="432" w:hanging="720"/>
        <w:jc w:val="both"/>
        <w:textAlignment w:val="baseline"/>
        <w:rPr>
          <w:i/>
          <w:color w:val="000000"/>
          <w:sz w:val="24"/>
          <w:lang w:val="en-SG"/>
        </w:rPr>
      </w:pPr>
      <w:r>
        <w:rPr>
          <w:color w:val="000000"/>
          <w:sz w:val="24"/>
          <w:lang w:val="en-SG"/>
        </w:rPr>
        <w:tab/>
      </w:r>
      <w:r w:rsidRPr="00953EA4">
        <w:rPr>
          <w:color w:val="000000"/>
          <w:sz w:val="24"/>
          <w:lang w:val="en-SG"/>
        </w:rPr>
        <w:t>These documents are submitted for different purposes.</w:t>
      </w:r>
    </w:p>
    <w:p w14:paraId="460321F1" w14:textId="77777777" w:rsidR="00C2645F" w:rsidRDefault="00C2645F" w:rsidP="00C2645F">
      <w:pPr>
        <w:ind w:left="720"/>
        <w:jc w:val="both"/>
        <w:textAlignment w:val="baseline"/>
        <w:rPr>
          <w:color w:val="000000"/>
          <w:sz w:val="24"/>
          <w:lang w:val="en-SG"/>
        </w:rPr>
      </w:pPr>
    </w:p>
    <w:p w14:paraId="0139E855" w14:textId="77777777" w:rsidR="00C2645F" w:rsidRDefault="00C2645F" w:rsidP="00C2645F">
      <w:pPr>
        <w:ind w:left="720"/>
        <w:jc w:val="both"/>
        <w:textAlignment w:val="baseline"/>
        <w:rPr>
          <w:color w:val="000000"/>
          <w:sz w:val="24"/>
          <w:lang w:val="en-SG"/>
        </w:rPr>
      </w:pPr>
      <w:r w:rsidRPr="00953EA4">
        <w:rPr>
          <w:color w:val="000000"/>
          <w:sz w:val="24"/>
          <w:lang w:val="en-SG"/>
        </w:rPr>
        <w:t>The Petition of Appeal filed by parties sets out:</w:t>
      </w:r>
    </w:p>
    <w:p w14:paraId="2592A6D3" w14:textId="77777777" w:rsidR="00C2645F" w:rsidRPr="00953EA4" w:rsidRDefault="00C2645F" w:rsidP="00C2645F">
      <w:pPr>
        <w:ind w:left="720"/>
        <w:jc w:val="both"/>
        <w:textAlignment w:val="baseline"/>
        <w:rPr>
          <w:color w:val="000000"/>
          <w:sz w:val="24"/>
          <w:lang w:val="en-SG"/>
        </w:rPr>
      </w:pPr>
    </w:p>
    <w:p w14:paraId="0616AAFF" w14:textId="77777777" w:rsidR="00C2645F" w:rsidRPr="00953EA4" w:rsidRDefault="00C2645F" w:rsidP="00C2645F">
      <w:pPr>
        <w:numPr>
          <w:ilvl w:val="0"/>
          <w:numId w:val="10"/>
        </w:numPr>
        <w:tabs>
          <w:tab w:val="clear" w:pos="360"/>
          <w:tab w:val="left" w:pos="1080"/>
        </w:tabs>
        <w:ind w:left="1080" w:hanging="360"/>
        <w:jc w:val="both"/>
        <w:textAlignment w:val="baseline"/>
        <w:rPr>
          <w:color w:val="000000"/>
          <w:sz w:val="24"/>
          <w:lang w:val="en-SG"/>
        </w:rPr>
      </w:pPr>
      <w:r w:rsidRPr="00953EA4">
        <w:rPr>
          <w:color w:val="000000"/>
          <w:sz w:val="24"/>
          <w:lang w:val="en-SG"/>
        </w:rPr>
        <w:t>the circumstances out of which the appeal arises:</w:t>
      </w:r>
    </w:p>
    <w:p w14:paraId="2EAABC69" w14:textId="77777777" w:rsidR="00C2645F" w:rsidRPr="00953EA4" w:rsidRDefault="00C2645F" w:rsidP="00C2645F">
      <w:pPr>
        <w:numPr>
          <w:ilvl w:val="0"/>
          <w:numId w:val="10"/>
        </w:numPr>
        <w:tabs>
          <w:tab w:val="clear" w:pos="360"/>
          <w:tab w:val="left" w:pos="1080"/>
        </w:tabs>
        <w:ind w:left="1080" w:hanging="360"/>
        <w:jc w:val="both"/>
        <w:textAlignment w:val="baseline"/>
        <w:rPr>
          <w:color w:val="000000"/>
          <w:sz w:val="24"/>
          <w:lang w:val="en-SG"/>
        </w:rPr>
      </w:pPr>
      <w:r w:rsidRPr="00953EA4">
        <w:rPr>
          <w:color w:val="000000"/>
          <w:sz w:val="24"/>
          <w:lang w:val="en-SG"/>
        </w:rPr>
        <w:t xml:space="preserve">the issues arising in the </w:t>
      </w:r>
      <w:proofErr w:type="gramStart"/>
      <w:r w:rsidRPr="00953EA4">
        <w:rPr>
          <w:color w:val="000000"/>
          <w:sz w:val="24"/>
          <w:lang w:val="en-SG"/>
        </w:rPr>
        <w:t>appeal;</w:t>
      </w:r>
      <w:proofErr w:type="gramEnd"/>
    </w:p>
    <w:p w14:paraId="670ADA14" w14:textId="77777777" w:rsidR="00C2645F" w:rsidRPr="00953EA4" w:rsidRDefault="00C2645F" w:rsidP="00C2645F">
      <w:pPr>
        <w:numPr>
          <w:ilvl w:val="0"/>
          <w:numId w:val="10"/>
        </w:numPr>
        <w:tabs>
          <w:tab w:val="clear" w:pos="360"/>
          <w:tab w:val="left" w:pos="1080"/>
        </w:tabs>
        <w:ind w:left="1080" w:hanging="360"/>
        <w:jc w:val="both"/>
        <w:textAlignment w:val="baseline"/>
        <w:rPr>
          <w:color w:val="000000"/>
          <w:sz w:val="24"/>
          <w:lang w:val="en-SG"/>
        </w:rPr>
      </w:pPr>
      <w:r w:rsidRPr="00953EA4">
        <w:rPr>
          <w:color w:val="000000"/>
          <w:sz w:val="24"/>
          <w:lang w:val="en-SG"/>
        </w:rPr>
        <w:t>the contentions to be argued by the party filing it and the authorities in support thereof; and</w:t>
      </w:r>
    </w:p>
    <w:p w14:paraId="265D0FDD" w14:textId="77777777" w:rsidR="00C2645F" w:rsidRPr="00953EA4" w:rsidRDefault="00C2645F" w:rsidP="00C2645F">
      <w:pPr>
        <w:numPr>
          <w:ilvl w:val="0"/>
          <w:numId w:val="10"/>
        </w:numPr>
        <w:tabs>
          <w:tab w:val="clear" w:pos="360"/>
          <w:tab w:val="left" w:pos="1080"/>
        </w:tabs>
        <w:ind w:left="1080" w:hanging="360"/>
        <w:jc w:val="both"/>
        <w:textAlignment w:val="baseline"/>
        <w:rPr>
          <w:color w:val="000000"/>
          <w:sz w:val="24"/>
          <w:lang w:val="en-SG"/>
        </w:rPr>
      </w:pPr>
      <w:r w:rsidRPr="00953EA4">
        <w:rPr>
          <w:color w:val="000000"/>
          <w:sz w:val="24"/>
          <w:lang w:val="en-SG"/>
        </w:rPr>
        <w:t xml:space="preserve">the reasons for or against the </w:t>
      </w:r>
      <w:proofErr w:type="gramStart"/>
      <w:r w:rsidRPr="00953EA4">
        <w:rPr>
          <w:color w:val="000000"/>
          <w:sz w:val="24"/>
          <w:lang w:val="en-SG"/>
        </w:rPr>
        <w:t>appeal, as the case may be</w:t>
      </w:r>
      <w:proofErr w:type="gramEnd"/>
      <w:r w:rsidRPr="00953EA4">
        <w:rPr>
          <w:color w:val="000000"/>
          <w:sz w:val="24"/>
          <w:lang w:val="en-SG"/>
        </w:rPr>
        <w:t>.</w:t>
      </w:r>
    </w:p>
    <w:p w14:paraId="5B36644E" w14:textId="77777777" w:rsidR="00C2645F" w:rsidRDefault="00C2645F" w:rsidP="00C2645F">
      <w:pPr>
        <w:ind w:left="720" w:right="357"/>
        <w:jc w:val="both"/>
        <w:textAlignment w:val="baseline"/>
        <w:rPr>
          <w:color w:val="000000"/>
          <w:sz w:val="24"/>
          <w:lang w:val="en-SG"/>
        </w:rPr>
      </w:pPr>
    </w:p>
    <w:p w14:paraId="50B2E811" w14:textId="77777777" w:rsidR="00C2645F" w:rsidRDefault="00C2645F" w:rsidP="00F87D2B">
      <w:pPr>
        <w:ind w:left="720" w:right="357"/>
        <w:jc w:val="both"/>
        <w:textAlignment w:val="baseline"/>
        <w:rPr>
          <w:color w:val="000000"/>
          <w:sz w:val="24"/>
          <w:lang w:val="en-SG"/>
        </w:rPr>
      </w:pPr>
      <w:r w:rsidRPr="00953EA4">
        <w:rPr>
          <w:color w:val="000000"/>
          <w:sz w:val="24"/>
          <w:lang w:val="en-SG"/>
        </w:rPr>
        <w:t>The affidavit is a written statement prepared by a witness to present evidence to the Board to support the appea</w:t>
      </w:r>
      <w:r>
        <w:rPr>
          <w:color w:val="000000"/>
          <w:sz w:val="24"/>
          <w:lang w:val="en-SG"/>
        </w:rPr>
        <w:t>l</w:t>
      </w:r>
      <w:r w:rsidR="00F87D2B">
        <w:rPr>
          <w:color w:val="000000"/>
          <w:sz w:val="24"/>
          <w:lang w:val="en-SG"/>
        </w:rPr>
        <w:t>.</w:t>
      </w:r>
    </w:p>
    <w:p w14:paraId="7A7DA4F2" w14:textId="77777777" w:rsidR="00FE7FF1" w:rsidRDefault="00FE7FF1" w:rsidP="001F334E">
      <w:pPr>
        <w:jc w:val="both"/>
        <w:textAlignment w:val="baseline"/>
        <w:rPr>
          <w:rFonts w:eastAsia="Times New Roman"/>
          <w:color w:val="000000"/>
          <w:sz w:val="23"/>
        </w:rPr>
      </w:pPr>
    </w:p>
    <w:sectPr w:rsidR="00FE7FF1">
      <w:footerReference w:type="default" r:id="rId12"/>
      <w:type w:val="continuous"/>
      <w:pgSz w:w="11904" w:h="16843"/>
      <w:pgMar w:top="1440" w:right="1407" w:bottom="56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5BFCD" w14:textId="77777777" w:rsidR="005B49FB" w:rsidRDefault="005B49FB">
      <w:r>
        <w:separator/>
      </w:r>
    </w:p>
    <w:p w14:paraId="1D8C2412" w14:textId="77777777" w:rsidR="005B49FB" w:rsidRDefault="005B49FB"/>
  </w:endnote>
  <w:endnote w:type="continuationSeparator" w:id="0">
    <w:p w14:paraId="3F293455" w14:textId="77777777" w:rsidR="005B49FB" w:rsidRDefault="005B49FB">
      <w:r>
        <w:continuationSeparator/>
      </w:r>
    </w:p>
    <w:p w14:paraId="2AC96E95" w14:textId="77777777" w:rsidR="005B49FB" w:rsidRDefault="005B49FB"/>
  </w:endnote>
  <w:endnote w:type="continuationNotice" w:id="1">
    <w:p w14:paraId="0C58BD0F" w14:textId="77777777" w:rsidR="005B49FB" w:rsidRDefault="005B49FB"/>
    <w:p w14:paraId="4359A059" w14:textId="77777777" w:rsidR="005B49FB" w:rsidRDefault="005B4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43692657"/>
      <w:docPartObj>
        <w:docPartGallery w:val="Page Numbers (Bottom of Page)"/>
        <w:docPartUnique/>
      </w:docPartObj>
    </w:sdtPr>
    <w:sdtEndPr>
      <w:rPr>
        <w:noProof/>
      </w:rPr>
    </w:sdtEndPr>
    <w:sdtContent>
      <w:p w14:paraId="3B200300" w14:textId="65983645" w:rsidR="00027BF3" w:rsidRPr="00426F58" w:rsidRDefault="001F334E" w:rsidP="001F334E">
        <w:pPr>
          <w:pStyle w:val="Footer"/>
          <w:rPr>
            <w:sz w:val="20"/>
            <w:szCs w:val="20"/>
          </w:rPr>
        </w:pPr>
        <w:r w:rsidRPr="00426F58">
          <w:rPr>
            <w:sz w:val="20"/>
            <w:szCs w:val="20"/>
          </w:rPr>
          <w:t xml:space="preserve">Last reviewed </w:t>
        </w:r>
        <w:r w:rsidR="00023416">
          <w:rPr>
            <w:sz w:val="20"/>
            <w:szCs w:val="20"/>
          </w:rPr>
          <w:t>17 March 2025</w:t>
        </w:r>
        <w:r w:rsidRPr="00426F58">
          <w:rPr>
            <w:sz w:val="20"/>
            <w:szCs w:val="20"/>
          </w:rPr>
          <w:tab/>
        </w:r>
        <w:r w:rsidR="00AB59B0" w:rsidRPr="00426F58">
          <w:rPr>
            <w:sz w:val="20"/>
            <w:szCs w:val="20"/>
          </w:rPr>
          <w:fldChar w:fldCharType="begin"/>
        </w:r>
        <w:r w:rsidR="00AB59B0" w:rsidRPr="00426F58">
          <w:rPr>
            <w:sz w:val="20"/>
            <w:szCs w:val="20"/>
          </w:rPr>
          <w:instrText xml:space="preserve"> PAGE   \* MERGEFORMAT </w:instrText>
        </w:r>
        <w:r w:rsidR="00AB59B0" w:rsidRPr="00426F58">
          <w:rPr>
            <w:sz w:val="20"/>
            <w:szCs w:val="20"/>
          </w:rPr>
          <w:fldChar w:fldCharType="separate"/>
        </w:r>
        <w:r w:rsidR="00AB59B0" w:rsidRPr="00426F58">
          <w:rPr>
            <w:noProof/>
            <w:sz w:val="20"/>
            <w:szCs w:val="20"/>
          </w:rPr>
          <w:t>2</w:t>
        </w:r>
        <w:r w:rsidR="00AB59B0" w:rsidRPr="00426F58">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0F8C61" w14:textId="77777777" w:rsidR="005B49FB" w:rsidRDefault="005B49FB"/>
    <w:p w14:paraId="66895A93" w14:textId="77777777" w:rsidR="005B49FB" w:rsidRDefault="005B49FB"/>
  </w:footnote>
  <w:footnote w:type="continuationSeparator" w:id="0">
    <w:p w14:paraId="3606A574" w14:textId="77777777" w:rsidR="005B49FB" w:rsidRDefault="005B49FB">
      <w:r>
        <w:continuationSeparator/>
      </w:r>
    </w:p>
    <w:p w14:paraId="38061168" w14:textId="77777777" w:rsidR="005B49FB" w:rsidRDefault="005B49FB"/>
  </w:footnote>
  <w:footnote w:type="continuationNotice" w:id="1">
    <w:p w14:paraId="52EFF52F" w14:textId="77777777" w:rsidR="005B49FB" w:rsidRDefault="005B49FB"/>
    <w:p w14:paraId="5A9DE9E2" w14:textId="77777777" w:rsidR="005B49FB" w:rsidRDefault="005B49FB"/>
  </w:footnote>
  <w:footnote w:id="2">
    <w:p w14:paraId="048EA2FD" w14:textId="38461364" w:rsidR="004F7BFE" w:rsidRDefault="004F7BFE">
      <w:pPr>
        <w:pStyle w:val="FootnoteText"/>
      </w:pPr>
      <w:r>
        <w:rPr>
          <w:rStyle w:val="FootnoteReference"/>
        </w:rPr>
        <w:footnoteRef/>
      </w:r>
      <w:r>
        <w:t xml:space="preserve"> </w:t>
      </w:r>
      <w:r w:rsidRPr="00AB59B0">
        <w:rPr>
          <w:color w:val="000000"/>
          <w:lang w:val="en-SG"/>
        </w:rPr>
        <w:t>Click on link &gt;</w:t>
      </w:r>
      <w:r w:rsidRPr="00AB59B0">
        <w:rPr>
          <w:color w:val="0000FF"/>
          <w:u w:val="single"/>
          <w:lang w:val="en-SG"/>
        </w:rPr>
        <w:t xml:space="preserve"> </w:t>
      </w:r>
      <w:r w:rsidR="008A4F3B" w:rsidRPr="008A4F3B">
        <w:rPr>
          <w:color w:val="0000FF"/>
          <w:u w:val="single"/>
          <w:lang w:val="en-SG"/>
        </w:rPr>
        <w:t xml:space="preserve">https://www.sgdi.gov.sg/ministries/mof/departments/gst </w:t>
      </w:r>
    </w:p>
  </w:footnote>
  <w:footnote w:id="3">
    <w:p w14:paraId="6F0F6D7E" w14:textId="77777777" w:rsidR="004F7BFE" w:rsidRDefault="004F7BFE">
      <w:pPr>
        <w:pStyle w:val="FootnoteText"/>
      </w:pPr>
      <w:r>
        <w:rPr>
          <w:rStyle w:val="FootnoteReference"/>
        </w:rPr>
        <w:footnoteRef/>
      </w:r>
      <w:r>
        <w:t xml:space="preserve"> </w:t>
      </w:r>
      <w:r w:rsidRPr="00AB59B0">
        <w:rPr>
          <w:color w:val="000000"/>
          <w:lang w:val="en-SG"/>
        </w:rPr>
        <w:t>Section 45 of the GSTA.</w:t>
      </w:r>
    </w:p>
  </w:footnote>
  <w:footnote w:id="4">
    <w:p w14:paraId="3DE873B5" w14:textId="77777777" w:rsidR="004F7BFE" w:rsidRDefault="004F7BFE">
      <w:pPr>
        <w:pStyle w:val="FootnoteText"/>
      </w:pPr>
      <w:r>
        <w:rPr>
          <w:rStyle w:val="FootnoteReference"/>
        </w:rPr>
        <w:footnoteRef/>
      </w:r>
      <w:r>
        <w:t xml:space="preserve"> </w:t>
      </w:r>
      <w:r w:rsidRPr="00AB59B0">
        <w:rPr>
          <w:color w:val="000000"/>
          <w:lang w:val="en-SG"/>
        </w:rPr>
        <w:t>Section 49(2) of the GSTA.</w:t>
      </w:r>
    </w:p>
  </w:footnote>
  <w:footnote w:id="5">
    <w:p w14:paraId="19ABC730" w14:textId="77777777" w:rsidR="004F7BFE" w:rsidRDefault="004F7BFE">
      <w:pPr>
        <w:pStyle w:val="FootnoteText"/>
      </w:pPr>
      <w:r>
        <w:rPr>
          <w:rStyle w:val="FootnoteReference"/>
        </w:rPr>
        <w:footnoteRef/>
      </w:r>
      <w:r>
        <w:t xml:space="preserve"> </w:t>
      </w:r>
      <w:r w:rsidRPr="00AB59B0">
        <w:rPr>
          <w:color w:val="000000"/>
          <w:lang w:val="en-SG"/>
        </w:rPr>
        <w:t>Section 49(1) of the GSTA.</w:t>
      </w:r>
    </w:p>
  </w:footnote>
  <w:footnote w:id="6">
    <w:p w14:paraId="6E054D82" w14:textId="77777777" w:rsidR="004F7BFE" w:rsidRDefault="004F7BFE">
      <w:pPr>
        <w:pStyle w:val="FootnoteText"/>
      </w:pPr>
      <w:r>
        <w:rPr>
          <w:rStyle w:val="FootnoteReference"/>
        </w:rPr>
        <w:footnoteRef/>
      </w:r>
      <w:r>
        <w:t xml:space="preserve"> </w:t>
      </w:r>
      <w:r w:rsidRPr="00AB59B0">
        <w:rPr>
          <w:color w:val="000000"/>
          <w:lang w:val="en-SG"/>
        </w:rPr>
        <w:t>Section 49(3) of the GSTA.</w:t>
      </w:r>
    </w:p>
  </w:footnote>
  <w:footnote w:id="7">
    <w:p w14:paraId="5C7B6298" w14:textId="77777777" w:rsidR="004F7BFE" w:rsidRDefault="004F7BFE">
      <w:pPr>
        <w:pStyle w:val="FootnoteText"/>
      </w:pPr>
      <w:r>
        <w:rPr>
          <w:rStyle w:val="FootnoteReference"/>
        </w:rPr>
        <w:footnoteRef/>
      </w:r>
      <w:r>
        <w:t xml:space="preserve"> </w:t>
      </w:r>
      <w:r w:rsidRPr="00AB59B0">
        <w:rPr>
          <w:color w:val="000000"/>
          <w:lang w:val="en-SG"/>
        </w:rPr>
        <w:t>Section 54(2) of the GSTA</w:t>
      </w:r>
      <w:r w:rsidR="00FA359C">
        <w:rPr>
          <w:color w:val="000000"/>
          <w:lang w:val="en-SG"/>
        </w:rPr>
        <w:t>.</w:t>
      </w:r>
    </w:p>
  </w:footnote>
  <w:footnote w:id="8">
    <w:p w14:paraId="0482507E" w14:textId="77777777" w:rsidR="004F7BFE" w:rsidRDefault="004F7BFE">
      <w:pPr>
        <w:pStyle w:val="FootnoteText"/>
      </w:pPr>
      <w:r>
        <w:rPr>
          <w:rStyle w:val="FootnoteReference"/>
        </w:rPr>
        <w:footnoteRef/>
      </w:r>
      <w:r>
        <w:t xml:space="preserve"> </w:t>
      </w:r>
      <w:r w:rsidRPr="00AB59B0">
        <w:rPr>
          <w:color w:val="000000"/>
          <w:lang w:val="en-SG"/>
        </w:rPr>
        <w:t>Section 51(1) of the GSTA</w:t>
      </w:r>
      <w:r w:rsidR="00FA359C">
        <w:rPr>
          <w:color w:val="000000"/>
          <w:lang w:val="en-SG"/>
        </w:rPr>
        <w:t>.</w:t>
      </w:r>
    </w:p>
  </w:footnote>
  <w:footnote w:id="9">
    <w:p w14:paraId="16569B23" w14:textId="77777777" w:rsidR="00FA359C" w:rsidRPr="00FA359C" w:rsidRDefault="00FA359C">
      <w:pPr>
        <w:pStyle w:val="FootnoteText"/>
      </w:pPr>
      <w:r>
        <w:rPr>
          <w:rStyle w:val="FootnoteReference"/>
        </w:rPr>
        <w:footnoteRef/>
      </w:r>
      <w:r>
        <w:t xml:space="preserve"> Section 51(5) of the GSTA.</w:t>
      </w:r>
    </w:p>
  </w:footnote>
  <w:footnote w:id="10">
    <w:p w14:paraId="38000E38" w14:textId="37238F5A" w:rsidR="00023416" w:rsidRPr="00023416" w:rsidRDefault="00023416">
      <w:pPr>
        <w:pStyle w:val="FootnoteText"/>
      </w:pPr>
      <w:r>
        <w:rPr>
          <w:rStyle w:val="FootnoteReference"/>
        </w:rPr>
        <w:footnoteRef/>
      </w:r>
      <w:r>
        <w:t xml:space="preserve"> Please see </w:t>
      </w:r>
      <w:hyperlink r:id="rId1" w:history="1">
        <w:r w:rsidRPr="00703FF4">
          <w:rPr>
            <w:rStyle w:val="Hyperlink"/>
          </w:rPr>
          <w:t>www.mof.gov.sg/policies/taxes/appeal-to-board-of-review</w:t>
        </w:r>
      </w:hyperlink>
      <w:r>
        <w:t xml:space="preserve"> &gt; GST &gt; Annex A.</w:t>
      </w:r>
    </w:p>
  </w:footnote>
  <w:footnote w:id="11">
    <w:p w14:paraId="3B7AB4E3" w14:textId="77777777" w:rsidR="00DA7873" w:rsidRPr="00DA7873" w:rsidRDefault="00DA7873">
      <w:pPr>
        <w:pStyle w:val="FootnoteText"/>
      </w:pPr>
      <w:r>
        <w:rPr>
          <w:rStyle w:val="FootnoteReference"/>
        </w:rPr>
        <w:footnoteRef/>
      </w:r>
      <w:r>
        <w:t xml:space="preserve"> Please see </w:t>
      </w:r>
      <w:hyperlink r:id="rId2" w:history="1">
        <w:r w:rsidRPr="00703FF4">
          <w:rPr>
            <w:rStyle w:val="Hyperlink"/>
          </w:rPr>
          <w:t>www.mof.gov.sg/policies/taxes/appeal-to-board-of-review</w:t>
        </w:r>
      </w:hyperlink>
      <w:r>
        <w:t xml:space="preserve"> &gt; GST &gt; Annex B.</w:t>
      </w:r>
    </w:p>
  </w:footnote>
  <w:footnote w:id="12">
    <w:p w14:paraId="6D7A2A79" w14:textId="77777777" w:rsidR="00DA7873" w:rsidRPr="00DA7873" w:rsidRDefault="00DA7873">
      <w:pPr>
        <w:pStyle w:val="FootnoteText"/>
      </w:pPr>
      <w:r>
        <w:rPr>
          <w:rStyle w:val="FootnoteReference"/>
        </w:rPr>
        <w:footnoteRef/>
      </w:r>
      <w:r>
        <w:t xml:space="preserve"> Please see </w:t>
      </w:r>
      <w:hyperlink r:id="rId3" w:history="1">
        <w:r w:rsidRPr="00703FF4">
          <w:rPr>
            <w:rStyle w:val="Hyperlink"/>
          </w:rPr>
          <w:t>www.mof.gov.sg/policies/taxes/appeal-to-board-of-review</w:t>
        </w:r>
      </w:hyperlink>
      <w:r>
        <w:t xml:space="preserve"> &gt; GST &gt; Annex C.</w:t>
      </w:r>
    </w:p>
  </w:footnote>
  <w:footnote w:id="13">
    <w:p w14:paraId="02BC6523" w14:textId="77777777" w:rsidR="00DA7873" w:rsidRDefault="00DA7873" w:rsidP="00DA7873">
      <w:pPr>
        <w:pStyle w:val="FootnoteText"/>
      </w:pPr>
      <w:r>
        <w:rPr>
          <w:rStyle w:val="FootnoteReference"/>
        </w:rPr>
        <w:footnoteRef/>
      </w:r>
      <w:r>
        <w:t xml:space="preserve"> </w:t>
      </w:r>
      <w:r w:rsidRPr="00953EA4">
        <w:rPr>
          <w:color w:val="000000"/>
          <w:lang w:val="en-SG"/>
        </w:rPr>
        <w:t>Section 2 of the GSTA defines an “accountant” to mean a public accountant within the meaning of the Accountants Act (Cap. 2).</w:t>
      </w:r>
    </w:p>
  </w:footnote>
  <w:footnote w:id="14">
    <w:p w14:paraId="4F88E133" w14:textId="5909F00D" w:rsidR="003F2929" w:rsidRPr="003F2929" w:rsidRDefault="003F2929">
      <w:pPr>
        <w:pStyle w:val="FootnoteText"/>
        <w:rPr>
          <w:lang w:val="en-SG"/>
        </w:rPr>
      </w:pPr>
      <w:r>
        <w:rPr>
          <w:rStyle w:val="FootnoteReference"/>
        </w:rPr>
        <w:footnoteRef/>
      </w:r>
      <w:r>
        <w:t xml:space="preserve"> </w:t>
      </w:r>
      <w:r>
        <w:rPr>
          <w:lang w:val="en-SG"/>
        </w:rPr>
        <w:t xml:space="preserve">For DBS, POSB, OCBC and UOB accounts only. </w:t>
      </w:r>
    </w:p>
  </w:footnote>
  <w:footnote w:id="15">
    <w:p w14:paraId="1080A8E3" w14:textId="77777777" w:rsidR="00C2645F" w:rsidRDefault="00C2645F" w:rsidP="00C2645F">
      <w:pPr>
        <w:pStyle w:val="FootnoteText"/>
      </w:pPr>
      <w:r>
        <w:rPr>
          <w:rStyle w:val="FootnoteReference"/>
        </w:rPr>
        <w:footnoteRef/>
      </w:r>
      <w:r>
        <w:t xml:space="preserve"> </w:t>
      </w:r>
      <w:r w:rsidRPr="00953EA4">
        <w:rPr>
          <w:color w:val="000000"/>
          <w:lang w:val="en-SG"/>
        </w:rPr>
        <w:t>Section 54(2) of GSTA</w:t>
      </w:r>
      <w:r>
        <w:rPr>
          <w:color w:val="000000"/>
          <w:lang w:val="en-SG"/>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C2D1B"/>
    <w:multiLevelType w:val="multilevel"/>
    <w:tmpl w:val="5022B236"/>
    <w:lvl w:ilvl="0">
      <w:start w:val="1"/>
      <w:numFmt w:val="decimal"/>
      <w:lvlText w:val="%1."/>
      <w:lvlJc w:val="left"/>
      <w:pPr>
        <w:tabs>
          <w:tab w:val="left" w:pos="711"/>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A5138"/>
    <w:multiLevelType w:val="multilevel"/>
    <w:tmpl w:val="2EF607E4"/>
    <w:lvl w:ilvl="0">
      <w:start w:val="8"/>
      <w:numFmt w:val="decimal"/>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692263"/>
    <w:multiLevelType w:val="multilevel"/>
    <w:tmpl w:val="BCA0FD12"/>
    <w:lvl w:ilvl="0">
      <w:start w:val="1"/>
      <w:numFmt w:val="lowerLetter"/>
      <w:lvlText w:val="%1."/>
      <w:lvlJc w:val="left"/>
      <w:pPr>
        <w:tabs>
          <w:tab w:val="left" w:pos="432"/>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835D67"/>
    <w:multiLevelType w:val="hybridMultilevel"/>
    <w:tmpl w:val="FB6CF252"/>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254A469F"/>
    <w:multiLevelType w:val="multilevel"/>
    <w:tmpl w:val="1BE45326"/>
    <w:lvl w:ilvl="0">
      <w:start w:val="1"/>
      <w:numFmt w:val="lowerLetter"/>
      <w:lvlText w:val="(%1)"/>
      <w:lvlJc w:val="left"/>
      <w:pPr>
        <w:tabs>
          <w:tab w:val="left" w:pos="288"/>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1E1ACD"/>
    <w:multiLevelType w:val="multilevel"/>
    <w:tmpl w:val="06205C8C"/>
    <w:lvl w:ilvl="0">
      <w:start w:val="1"/>
      <w:numFmt w:val="lowerLetter"/>
      <w:lvlText w:val="%1."/>
      <w:lvlJc w:val="left"/>
      <w:pPr>
        <w:tabs>
          <w:tab w:val="left" w:pos="432"/>
        </w:tabs>
      </w:pPr>
      <w:rPr>
        <w:rFonts w:ascii="Times New Roman" w:eastAsia="Times New Roman" w:hAnsi="Times New Roman"/>
        <w:color w:val="000000"/>
        <w:spacing w:val="0"/>
        <w:w w:val="100"/>
        <w:sz w:val="24"/>
        <w:u w:val="none"/>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20316A"/>
    <w:multiLevelType w:val="multilevel"/>
    <w:tmpl w:val="EA58F0BE"/>
    <w:lvl w:ilvl="0">
      <w:numFmt w:val="decimal"/>
      <w:lvlText w:val="%1."/>
      <w:lvlJc w:val="left"/>
      <w:pPr>
        <w:tabs>
          <w:tab w:val="left" w:pos="648"/>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9540AF"/>
    <w:multiLevelType w:val="multilevel"/>
    <w:tmpl w:val="931ADA4A"/>
    <w:lvl w:ilvl="0">
      <w:start w:val="1"/>
      <w:numFmt w:val="decimal"/>
      <w:lvlText w:val="%1."/>
      <w:lvlJc w:val="left"/>
      <w:pPr>
        <w:tabs>
          <w:tab w:val="left" w:pos="720"/>
        </w:tabs>
      </w:pPr>
      <w:rPr>
        <w:rFonts w:ascii="Times New Roman" w:eastAsia="Times New Roman" w:hAnsi="Times New Roman"/>
        <w:b/>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232320"/>
    <w:multiLevelType w:val="multilevel"/>
    <w:tmpl w:val="DA929DA2"/>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41D1105"/>
    <w:multiLevelType w:val="multilevel"/>
    <w:tmpl w:val="2EF607E4"/>
    <w:lvl w:ilvl="0">
      <w:start w:val="8"/>
      <w:numFmt w:val="decimal"/>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E37D7D"/>
    <w:multiLevelType w:val="hybridMultilevel"/>
    <w:tmpl w:val="419C87FE"/>
    <w:lvl w:ilvl="0" w:tplc="AFD059FA">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62287054"/>
    <w:multiLevelType w:val="multilevel"/>
    <w:tmpl w:val="2D30D58C"/>
    <w:lvl w:ilvl="0">
      <w:start w:val="1"/>
      <w:numFmt w:val="lowerRoman"/>
      <w:lvlText w:val="(%1)"/>
      <w:lvlJc w:val="left"/>
      <w:pPr>
        <w:tabs>
          <w:tab w:val="left" w:pos="720"/>
        </w:tabs>
      </w:pPr>
      <w:rPr>
        <w:rFonts w:ascii="Times New Roman" w:eastAsia="Times New Roman" w:hAnsi="Times New Roman"/>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346786"/>
    <w:multiLevelType w:val="multilevel"/>
    <w:tmpl w:val="9D16E4E8"/>
    <w:lvl w:ilvl="0">
      <w:start w:val="1"/>
      <w:numFmt w:val="lowerLetter"/>
      <w:lvlText w:val="%1."/>
      <w:lvlJc w:val="left"/>
      <w:pPr>
        <w:tabs>
          <w:tab w:val="left" w:pos="360"/>
        </w:tabs>
      </w:pPr>
      <w:rPr>
        <w:rFonts w:ascii="Times New Roman" w:eastAsia="Times New Roman" w:hAnsi="Times New Roman"/>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DA3C75"/>
    <w:multiLevelType w:val="multilevel"/>
    <w:tmpl w:val="44443D5E"/>
    <w:lvl w:ilvl="0">
      <w:start w:val="6"/>
      <w:numFmt w:val="decimal"/>
      <w:lvlText w:val="%1."/>
      <w:lvlJc w:val="left"/>
      <w:pPr>
        <w:tabs>
          <w:tab w:val="left" w:pos="720"/>
        </w:tabs>
      </w:pPr>
      <w:rPr>
        <w:rFonts w:ascii="Times New Roman" w:eastAsia="Times New Roman" w:hAnsi="Times New Roman"/>
        <w:b/>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8535653"/>
    <w:multiLevelType w:val="multilevel"/>
    <w:tmpl w:val="3D0C4D1C"/>
    <w:lvl w:ilvl="0">
      <w:start w:val="1"/>
      <w:numFmt w:val="decimal"/>
      <w:lvlText w:val="%1."/>
      <w:lvlJc w:val="left"/>
      <w:pPr>
        <w:ind w:left="360" w:hanging="360"/>
      </w:pPr>
      <w:rPr>
        <w:b/>
        <w:bCs/>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792092180">
    <w:abstractNumId w:val="7"/>
  </w:num>
  <w:num w:numId="2" w16cid:durableId="1314991071">
    <w:abstractNumId w:val="0"/>
  </w:num>
  <w:num w:numId="3" w16cid:durableId="773286354">
    <w:abstractNumId w:val="6"/>
  </w:num>
  <w:num w:numId="4" w16cid:durableId="1417021429">
    <w:abstractNumId w:val="2"/>
  </w:num>
  <w:num w:numId="5" w16cid:durableId="786852640">
    <w:abstractNumId w:val="13"/>
  </w:num>
  <w:num w:numId="6" w16cid:durableId="1897281626">
    <w:abstractNumId w:val="5"/>
  </w:num>
  <w:num w:numId="7" w16cid:durableId="1521318702">
    <w:abstractNumId w:val="1"/>
  </w:num>
  <w:num w:numId="8" w16cid:durableId="90903802">
    <w:abstractNumId w:val="4"/>
  </w:num>
  <w:num w:numId="9" w16cid:durableId="1390885845">
    <w:abstractNumId w:val="11"/>
  </w:num>
  <w:num w:numId="10" w16cid:durableId="893351099">
    <w:abstractNumId w:val="12"/>
  </w:num>
  <w:num w:numId="11" w16cid:durableId="1303735263">
    <w:abstractNumId w:val="3"/>
  </w:num>
  <w:num w:numId="12" w16cid:durableId="1737894046">
    <w:abstractNumId w:val="14"/>
  </w:num>
  <w:num w:numId="13" w16cid:durableId="878661044">
    <w:abstractNumId w:val="8"/>
  </w:num>
  <w:num w:numId="14" w16cid:durableId="841164171">
    <w:abstractNumId w:val="9"/>
  </w:num>
  <w:num w:numId="15" w16cid:durableId="822627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20"/>
  <w:characterSpacingControl w:val="doNotCompres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FF1"/>
    <w:rsid w:val="0002281C"/>
    <w:rsid w:val="00023416"/>
    <w:rsid w:val="00027BF3"/>
    <w:rsid w:val="00090335"/>
    <w:rsid w:val="000B2397"/>
    <w:rsid w:val="000C3786"/>
    <w:rsid w:val="000E38A7"/>
    <w:rsid w:val="000E396A"/>
    <w:rsid w:val="00123866"/>
    <w:rsid w:val="00134678"/>
    <w:rsid w:val="00137F2D"/>
    <w:rsid w:val="00145829"/>
    <w:rsid w:val="00164E7C"/>
    <w:rsid w:val="001F334E"/>
    <w:rsid w:val="001F359F"/>
    <w:rsid w:val="00206AEC"/>
    <w:rsid w:val="00253599"/>
    <w:rsid w:val="00256FD8"/>
    <w:rsid w:val="002B1E0B"/>
    <w:rsid w:val="002B5CC4"/>
    <w:rsid w:val="00300C50"/>
    <w:rsid w:val="00315421"/>
    <w:rsid w:val="003248F8"/>
    <w:rsid w:val="003612E4"/>
    <w:rsid w:val="00361807"/>
    <w:rsid w:val="00363B9F"/>
    <w:rsid w:val="00381446"/>
    <w:rsid w:val="00383C43"/>
    <w:rsid w:val="003A0A2B"/>
    <w:rsid w:val="003B32E9"/>
    <w:rsid w:val="003F2929"/>
    <w:rsid w:val="003F343E"/>
    <w:rsid w:val="00426F58"/>
    <w:rsid w:val="00444D6C"/>
    <w:rsid w:val="00450F8C"/>
    <w:rsid w:val="00455AE8"/>
    <w:rsid w:val="00473222"/>
    <w:rsid w:val="0049124A"/>
    <w:rsid w:val="004A3BC3"/>
    <w:rsid w:val="004C5C84"/>
    <w:rsid w:val="004E352F"/>
    <w:rsid w:val="004F12E2"/>
    <w:rsid w:val="004F7BFE"/>
    <w:rsid w:val="00502147"/>
    <w:rsid w:val="00505371"/>
    <w:rsid w:val="0051383E"/>
    <w:rsid w:val="00527096"/>
    <w:rsid w:val="005457FB"/>
    <w:rsid w:val="0055349D"/>
    <w:rsid w:val="005B2DE0"/>
    <w:rsid w:val="005B2E1B"/>
    <w:rsid w:val="005B49FB"/>
    <w:rsid w:val="005B4C50"/>
    <w:rsid w:val="005E18A7"/>
    <w:rsid w:val="006007FD"/>
    <w:rsid w:val="00600DB8"/>
    <w:rsid w:val="00622ADB"/>
    <w:rsid w:val="00643C8A"/>
    <w:rsid w:val="00653931"/>
    <w:rsid w:val="00691323"/>
    <w:rsid w:val="006970E3"/>
    <w:rsid w:val="006A2EC5"/>
    <w:rsid w:val="006E25FF"/>
    <w:rsid w:val="00725126"/>
    <w:rsid w:val="007941DD"/>
    <w:rsid w:val="007C1321"/>
    <w:rsid w:val="007C56CA"/>
    <w:rsid w:val="007D5938"/>
    <w:rsid w:val="00810165"/>
    <w:rsid w:val="00814443"/>
    <w:rsid w:val="008632CB"/>
    <w:rsid w:val="0087316E"/>
    <w:rsid w:val="00875FF1"/>
    <w:rsid w:val="008A4F3B"/>
    <w:rsid w:val="008C71B1"/>
    <w:rsid w:val="008D2DA0"/>
    <w:rsid w:val="008E045C"/>
    <w:rsid w:val="008E7B8B"/>
    <w:rsid w:val="009379EE"/>
    <w:rsid w:val="00953878"/>
    <w:rsid w:val="00953EA4"/>
    <w:rsid w:val="00956BFB"/>
    <w:rsid w:val="009708DA"/>
    <w:rsid w:val="00994452"/>
    <w:rsid w:val="009B713E"/>
    <w:rsid w:val="009E199C"/>
    <w:rsid w:val="00A44FEF"/>
    <w:rsid w:val="00A478BE"/>
    <w:rsid w:val="00A717BB"/>
    <w:rsid w:val="00A77089"/>
    <w:rsid w:val="00A817B0"/>
    <w:rsid w:val="00AB4976"/>
    <w:rsid w:val="00AB59B0"/>
    <w:rsid w:val="00B0067C"/>
    <w:rsid w:val="00B47F51"/>
    <w:rsid w:val="00B5509D"/>
    <w:rsid w:val="00B61804"/>
    <w:rsid w:val="00B866B0"/>
    <w:rsid w:val="00BA1CCB"/>
    <w:rsid w:val="00BE2AD9"/>
    <w:rsid w:val="00BF2B37"/>
    <w:rsid w:val="00C00868"/>
    <w:rsid w:val="00C21180"/>
    <w:rsid w:val="00C2645F"/>
    <w:rsid w:val="00C30BEC"/>
    <w:rsid w:val="00C53197"/>
    <w:rsid w:val="00C54F7C"/>
    <w:rsid w:val="00C85AC9"/>
    <w:rsid w:val="00CB0CE5"/>
    <w:rsid w:val="00D11B5A"/>
    <w:rsid w:val="00D13C62"/>
    <w:rsid w:val="00D25EE5"/>
    <w:rsid w:val="00D264CF"/>
    <w:rsid w:val="00D40BE8"/>
    <w:rsid w:val="00D55F3D"/>
    <w:rsid w:val="00DA4F6A"/>
    <w:rsid w:val="00DA7873"/>
    <w:rsid w:val="00DB1C69"/>
    <w:rsid w:val="00DC35DA"/>
    <w:rsid w:val="00DD2757"/>
    <w:rsid w:val="00E0454F"/>
    <w:rsid w:val="00E42753"/>
    <w:rsid w:val="00E753BE"/>
    <w:rsid w:val="00E91201"/>
    <w:rsid w:val="00E91853"/>
    <w:rsid w:val="00EA22C9"/>
    <w:rsid w:val="00EC6C44"/>
    <w:rsid w:val="00ED6C4C"/>
    <w:rsid w:val="00EE391D"/>
    <w:rsid w:val="00EF2BEA"/>
    <w:rsid w:val="00F06A46"/>
    <w:rsid w:val="00F162DA"/>
    <w:rsid w:val="00F1748A"/>
    <w:rsid w:val="00F250E4"/>
    <w:rsid w:val="00F343D5"/>
    <w:rsid w:val="00F82424"/>
    <w:rsid w:val="00F87D2B"/>
    <w:rsid w:val="00FA359C"/>
    <w:rsid w:val="00FC292E"/>
    <w:rsid w:val="00FE7FF1"/>
    <w:rsid w:val="00FF497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D9CB"/>
  <w15:docId w15:val="{991189EB-4E40-46FE-86F4-12AC6350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A22C9"/>
  </w:style>
  <w:style w:type="paragraph" w:styleId="ListParagraph">
    <w:name w:val="List Paragraph"/>
    <w:basedOn w:val="Normal"/>
    <w:uiPriority w:val="34"/>
    <w:qFormat/>
    <w:rsid w:val="00EA22C9"/>
    <w:pPr>
      <w:ind w:left="720"/>
      <w:contextualSpacing/>
    </w:pPr>
  </w:style>
  <w:style w:type="paragraph" w:styleId="FootnoteText">
    <w:name w:val="footnote text"/>
    <w:basedOn w:val="Normal"/>
    <w:link w:val="FootnoteTextChar"/>
    <w:uiPriority w:val="99"/>
    <w:semiHidden/>
    <w:unhideWhenUsed/>
    <w:rsid w:val="009708DA"/>
    <w:rPr>
      <w:sz w:val="20"/>
      <w:szCs w:val="20"/>
    </w:rPr>
  </w:style>
  <w:style w:type="character" w:customStyle="1" w:styleId="FootnoteTextChar">
    <w:name w:val="Footnote Text Char"/>
    <w:basedOn w:val="DefaultParagraphFont"/>
    <w:link w:val="FootnoteText"/>
    <w:uiPriority w:val="99"/>
    <w:semiHidden/>
    <w:rsid w:val="009708DA"/>
    <w:rPr>
      <w:sz w:val="20"/>
      <w:szCs w:val="20"/>
    </w:rPr>
  </w:style>
  <w:style w:type="character" w:styleId="FootnoteReference">
    <w:name w:val="footnote reference"/>
    <w:basedOn w:val="DefaultParagraphFont"/>
    <w:uiPriority w:val="99"/>
    <w:semiHidden/>
    <w:unhideWhenUsed/>
    <w:rsid w:val="009708DA"/>
    <w:rPr>
      <w:vertAlign w:val="superscript"/>
    </w:rPr>
  </w:style>
  <w:style w:type="paragraph" w:styleId="Header">
    <w:name w:val="header"/>
    <w:basedOn w:val="Normal"/>
    <w:link w:val="HeaderChar"/>
    <w:uiPriority w:val="99"/>
    <w:unhideWhenUsed/>
    <w:rsid w:val="00027BF3"/>
    <w:pPr>
      <w:tabs>
        <w:tab w:val="center" w:pos="4513"/>
        <w:tab w:val="right" w:pos="9026"/>
      </w:tabs>
    </w:pPr>
  </w:style>
  <w:style w:type="character" w:customStyle="1" w:styleId="HeaderChar">
    <w:name w:val="Header Char"/>
    <w:basedOn w:val="DefaultParagraphFont"/>
    <w:link w:val="Header"/>
    <w:uiPriority w:val="99"/>
    <w:rsid w:val="00027BF3"/>
  </w:style>
  <w:style w:type="paragraph" w:styleId="Footer">
    <w:name w:val="footer"/>
    <w:basedOn w:val="Normal"/>
    <w:link w:val="FooterChar"/>
    <w:uiPriority w:val="99"/>
    <w:unhideWhenUsed/>
    <w:rsid w:val="00027BF3"/>
    <w:pPr>
      <w:tabs>
        <w:tab w:val="center" w:pos="4513"/>
        <w:tab w:val="right" w:pos="9026"/>
      </w:tabs>
    </w:pPr>
  </w:style>
  <w:style w:type="character" w:customStyle="1" w:styleId="FooterChar">
    <w:name w:val="Footer Char"/>
    <w:basedOn w:val="DefaultParagraphFont"/>
    <w:link w:val="Footer"/>
    <w:uiPriority w:val="99"/>
    <w:rsid w:val="00027BF3"/>
  </w:style>
  <w:style w:type="character" w:styleId="Hyperlink">
    <w:name w:val="Hyperlink"/>
    <w:basedOn w:val="DefaultParagraphFont"/>
    <w:uiPriority w:val="99"/>
    <w:unhideWhenUsed/>
    <w:rsid w:val="00256FD8"/>
    <w:rPr>
      <w:color w:val="0563C1" w:themeColor="hyperlink"/>
      <w:u w:val="single"/>
    </w:rPr>
  </w:style>
  <w:style w:type="character" w:styleId="UnresolvedMention">
    <w:name w:val="Unresolved Mention"/>
    <w:basedOn w:val="DefaultParagraphFont"/>
    <w:uiPriority w:val="99"/>
    <w:semiHidden/>
    <w:unhideWhenUsed/>
    <w:rsid w:val="00256FD8"/>
    <w:rPr>
      <w:color w:val="605E5C"/>
      <w:shd w:val="clear" w:color="auto" w:fill="E1DFDD"/>
    </w:rPr>
  </w:style>
  <w:style w:type="table" w:styleId="TableGrid">
    <w:name w:val="Table Grid"/>
    <w:basedOn w:val="TableNormal"/>
    <w:uiPriority w:val="39"/>
    <w:rsid w:val="00256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6FD8"/>
    <w:rPr>
      <w:sz w:val="16"/>
      <w:szCs w:val="16"/>
    </w:rPr>
  </w:style>
  <w:style w:type="paragraph" w:styleId="CommentText">
    <w:name w:val="annotation text"/>
    <w:basedOn w:val="Normal"/>
    <w:link w:val="CommentTextChar"/>
    <w:uiPriority w:val="99"/>
    <w:unhideWhenUsed/>
    <w:rsid w:val="00256FD8"/>
    <w:rPr>
      <w:sz w:val="20"/>
      <w:szCs w:val="20"/>
    </w:rPr>
  </w:style>
  <w:style w:type="character" w:customStyle="1" w:styleId="CommentTextChar">
    <w:name w:val="Comment Text Char"/>
    <w:basedOn w:val="DefaultParagraphFont"/>
    <w:link w:val="CommentText"/>
    <w:uiPriority w:val="99"/>
    <w:rsid w:val="00256FD8"/>
    <w:rPr>
      <w:sz w:val="20"/>
      <w:szCs w:val="20"/>
    </w:rPr>
  </w:style>
  <w:style w:type="paragraph" w:styleId="CommentSubject">
    <w:name w:val="annotation subject"/>
    <w:basedOn w:val="CommentText"/>
    <w:next w:val="CommentText"/>
    <w:link w:val="CommentSubjectChar"/>
    <w:uiPriority w:val="99"/>
    <w:semiHidden/>
    <w:unhideWhenUsed/>
    <w:rsid w:val="00256FD8"/>
    <w:rPr>
      <w:b/>
      <w:bCs/>
    </w:rPr>
  </w:style>
  <w:style w:type="character" w:customStyle="1" w:styleId="CommentSubjectChar">
    <w:name w:val="Comment Subject Char"/>
    <w:basedOn w:val="CommentTextChar"/>
    <w:link w:val="CommentSubject"/>
    <w:uiPriority w:val="99"/>
    <w:semiHidden/>
    <w:rsid w:val="00256FD8"/>
    <w:rPr>
      <w:b/>
      <w:bCs/>
      <w:sz w:val="20"/>
      <w:szCs w:val="20"/>
    </w:rPr>
  </w:style>
  <w:style w:type="table" w:customStyle="1" w:styleId="TableGrid1">
    <w:name w:val="Table Grid1"/>
    <w:basedOn w:val="TableNormal"/>
    <w:next w:val="TableGrid"/>
    <w:uiPriority w:val="39"/>
    <w:rsid w:val="007C56CA"/>
    <w:rPr>
      <w:rFonts w:asciiTheme="minorHAnsi" w:eastAsiaTheme="minorHAnsi" w:hAnsiTheme="minorHAnsi" w:cstheme="minorBidi"/>
      <w:kern w:val="2"/>
      <w:lang w:val="en-SG"/>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82187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stbr@mof.gov.s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tbr@mof.gov.sg" TargetMode="External"/><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gstbr@mof.gov.sg"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of.gov.sg/policies/taxes/appeal-to-board-of-review" TargetMode="External"/><Relationship Id="rId2" Type="http://schemas.openxmlformats.org/officeDocument/2006/relationships/hyperlink" Target="http://www.mof.gov.sg/policies/taxes/appeal-to-board-of-review" TargetMode="External"/><Relationship Id="rId1" Type="http://schemas.openxmlformats.org/officeDocument/2006/relationships/hyperlink" Target="http://www.mof.gov.sg/policies/taxes/appeal-to-board-of-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1ACF5-0D09-4747-A67F-DEB01F57F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20210208_gstbr-guide</vt:lpstr>
    </vt:vector>
  </TitlesOfParts>
  <Company/>
  <LinksUpToDate>false</LinksUpToDate>
  <CharactersWithSpaces>15645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20210208_gstbr-guide</dc:title>
  <dc:creator>Irene SOH (MOF)</dc:creator>
  <cp:lastModifiedBy>Fadhila TALIB (MOF)</cp:lastModifiedBy>
  <cp:revision>2</cp:revision>
  <dcterms:created xsi:type="dcterms:W3CDTF">2025-03-21T05:41:00Z</dcterms:created>
  <dcterms:modified xsi:type="dcterms:W3CDTF">2025-03-21T05:41:00Z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2023-08-08T08:29:22Z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7f200f67-3939-4691-a1f2-6d620f295a9c</vt:lpwstr>
  </property>
  <property fmtid="{D5CDD505-2E9C-101B-9397-08002B2CF9AE}" pid="8" name="MSIP_Label_5434c4c7-833e-41e4-b0ab-cdb227a2f6f7_ContentBits">
    <vt:lpwstr>0</vt:lpwstr>
  </property>
</Properties>
</file>